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b/>
          <w:sz w:val="48"/>
          <w:szCs w:val="48"/>
        </w:rPr>
      </w:pPr>
      <w:r>
        <w:rPr>
          <w:rFonts w:ascii="黑体" w:hAnsi="黑体" w:eastAsia="黑体" w:cs="Times New Roman"/>
          <w:sz w:val="32"/>
          <w:szCs w:val="32"/>
        </w:rPr>
        <w:t>附件</w:t>
      </w:r>
      <w:r>
        <w:rPr>
          <w:rFonts w:hint="eastAsia" w:ascii="黑体" w:hAnsi="黑体" w:eastAsia="黑体" w:cs="Times New Roman"/>
          <w:sz w:val="32"/>
          <w:szCs w:val="32"/>
        </w:rPr>
        <w:t>2</w:t>
      </w:r>
      <w:r>
        <w:rPr>
          <w:rFonts w:ascii="Times New Roman" w:hAnsi="Times New Roman" w:eastAsia="仿宋" w:cs="Times New Roman"/>
          <w:b/>
          <w:sz w:val="48"/>
          <w:szCs w:val="48"/>
        </w:rPr>
        <w:t xml:space="preserve">          </w:t>
      </w:r>
    </w:p>
    <w:p>
      <w:pPr>
        <w:rPr>
          <w:rFonts w:ascii="Times New Roman" w:hAnsi="Times New Roman" w:eastAsia="仿宋" w:cs="Times New Roman"/>
          <w:b/>
          <w:sz w:val="48"/>
          <w:szCs w:val="48"/>
        </w:rPr>
      </w:pPr>
    </w:p>
    <w:p>
      <w:pPr>
        <w:rPr>
          <w:rFonts w:ascii="Times New Roman" w:hAnsi="Times New Roman" w:eastAsia="仿宋" w:cs="Times New Roman"/>
          <w:b/>
          <w:sz w:val="48"/>
          <w:szCs w:val="48"/>
        </w:rPr>
      </w:pPr>
    </w:p>
    <w:p>
      <w:pPr>
        <w:rPr>
          <w:rFonts w:ascii="Times New Roman" w:hAnsi="Times New Roman" w:eastAsia="仿宋" w:cs="Times New Roman"/>
          <w:b/>
          <w:sz w:val="48"/>
          <w:szCs w:val="48"/>
        </w:rPr>
      </w:pPr>
    </w:p>
    <w:p>
      <w:pPr>
        <w:rPr>
          <w:rFonts w:ascii="Times New Roman" w:hAnsi="Times New Roman" w:eastAsia="仿宋" w:cs="Times New Roman"/>
          <w:b/>
          <w:sz w:val="48"/>
          <w:szCs w:val="48"/>
        </w:rPr>
      </w:pPr>
    </w:p>
    <w:p>
      <w:pPr>
        <w:rPr>
          <w:rFonts w:ascii="Times New Roman" w:hAnsi="Times New Roman" w:eastAsia="仿宋" w:cs="Times New Roman"/>
          <w:b/>
          <w:sz w:val="48"/>
          <w:szCs w:val="48"/>
        </w:rPr>
      </w:pPr>
    </w:p>
    <w:p>
      <w:pPr>
        <w:snapToGrid w:val="0"/>
        <w:spacing w:before="156"/>
        <w:jc w:val="center"/>
        <w:rPr>
          <w:rFonts w:ascii="Times New Roman" w:hAnsi="Times New Roman" w:eastAsia="仿宋" w:cs="Times New Roman"/>
          <w:spacing w:val="-4"/>
          <w:sz w:val="56"/>
          <w:szCs w:val="56"/>
          <w:highlight w:val="none"/>
        </w:rPr>
      </w:pPr>
      <w:bookmarkStart w:id="155" w:name="_GoBack"/>
      <w:r>
        <w:rPr>
          <w:rFonts w:ascii="Times New Roman" w:hAnsi="Times New Roman" w:eastAsia="仿宋" w:cs="Times New Roman"/>
          <w:spacing w:val="-4"/>
          <w:sz w:val="56"/>
          <w:szCs w:val="56"/>
          <w:highlight w:val="none"/>
        </w:rPr>
        <w:t>吉林省生态环境准入清单</w:t>
      </w: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rPr>
          <w:rFonts w:ascii="Times New Roman" w:hAnsi="Times New Roman" w:eastAsia="仿宋" w:cs="Times New Roman"/>
          <w:b/>
          <w:sz w:val="48"/>
          <w:szCs w:val="48"/>
          <w:highlight w:val="none"/>
        </w:rPr>
      </w:pPr>
    </w:p>
    <w:p>
      <w:pPr>
        <w:jc w:val="center"/>
        <w:rPr>
          <w:rFonts w:ascii="Times New Roman" w:hAnsi="Times New Roman" w:eastAsia="仿宋" w:cs="Times New Roman"/>
          <w:b/>
          <w:sz w:val="48"/>
          <w:szCs w:val="48"/>
          <w:highlight w:val="none"/>
        </w:rPr>
      </w:pPr>
    </w:p>
    <w:p>
      <w:pPr>
        <w:jc w:val="center"/>
        <w:rPr>
          <w:rFonts w:ascii="Times New Roman" w:hAnsi="Times New Roman" w:eastAsia="仿宋" w:cs="Times New Roman"/>
          <w:b/>
          <w:sz w:val="36"/>
          <w:szCs w:val="36"/>
          <w:highlight w:val="none"/>
        </w:rPr>
      </w:pPr>
      <w:r>
        <w:rPr>
          <w:rFonts w:ascii="Times New Roman" w:hAnsi="Times New Roman" w:eastAsia="仿宋" w:cs="Times New Roman"/>
          <w:b/>
          <w:sz w:val="36"/>
          <w:szCs w:val="36"/>
          <w:highlight w:val="none"/>
        </w:rPr>
        <w:t>二〇二三年</w:t>
      </w:r>
      <w:r>
        <w:rPr>
          <w:rFonts w:hint="eastAsia" w:ascii="Times New Roman" w:hAnsi="Times New Roman" w:eastAsia="仿宋" w:cs="Times New Roman"/>
          <w:b/>
          <w:sz w:val="36"/>
          <w:szCs w:val="36"/>
          <w:highlight w:val="none"/>
        </w:rPr>
        <w:t>十一</w:t>
      </w:r>
      <w:r>
        <w:rPr>
          <w:rFonts w:ascii="Times New Roman" w:hAnsi="Times New Roman" w:eastAsia="仿宋" w:cs="Times New Roman"/>
          <w:b/>
          <w:sz w:val="36"/>
          <w:szCs w:val="36"/>
          <w:highlight w:val="none"/>
        </w:rPr>
        <w:t>月</w:t>
      </w:r>
    </w:p>
    <w:p>
      <w:pPr>
        <w:jc w:val="center"/>
        <w:rPr>
          <w:rFonts w:ascii="Times New Roman" w:hAnsi="Times New Roman" w:eastAsia="仿宋" w:cs="Times New Roman"/>
          <w:b/>
          <w:sz w:val="36"/>
          <w:szCs w:val="36"/>
          <w:highlight w:val="none"/>
        </w:rPr>
        <w:sectPr>
          <w:headerReference r:id="rId5" w:type="first"/>
          <w:headerReference r:id="rId3" w:type="default"/>
          <w:footerReference r:id="rId6" w:type="default"/>
          <w:headerReference r:id="rId4" w:type="even"/>
          <w:footerReference r:id="rId7" w:type="even"/>
          <w:pgSz w:w="23811" w:h="16838" w:orient="landscape"/>
          <w:pgMar w:top="1797" w:right="1440" w:bottom="1797" w:left="1440" w:header="851" w:footer="992" w:gutter="0"/>
          <w:pgNumType w:start="1"/>
          <w:cols w:space="425" w:num="1"/>
          <w:docGrid w:type="linesAndChars" w:linePitch="312" w:charSpace="0"/>
        </w:sectPr>
      </w:pPr>
    </w:p>
    <w:sdt>
      <w:sdtPr>
        <w:rPr>
          <w:rFonts w:ascii="Times New Roman" w:hAnsi="Times New Roman" w:eastAsia="仿宋" w:cs="Times New Roman"/>
          <w:color w:val="auto"/>
          <w:kern w:val="2"/>
          <w:sz w:val="21"/>
          <w:szCs w:val="22"/>
          <w:highlight w:val="none"/>
          <w:lang w:val="zh-CN"/>
        </w:rPr>
        <w:id w:val="-329287982"/>
        <w:docPartObj>
          <w:docPartGallery w:val="Table of Contents"/>
          <w:docPartUnique/>
        </w:docPartObj>
      </w:sdtPr>
      <w:sdtEndPr>
        <w:rPr>
          <w:rFonts w:ascii="Times New Roman" w:hAnsi="Times New Roman" w:eastAsia="仿宋" w:cs="Times New Roman"/>
          <w:b/>
          <w:bCs/>
          <w:color w:val="FF0000"/>
          <w:kern w:val="2"/>
          <w:sz w:val="21"/>
          <w:szCs w:val="22"/>
          <w:highlight w:val="none"/>
          <w:lang w:val="zh-CN"/>
        </w:rPr>
      </w:sdtEndPr>
      <w:sdtContent>
        <w:p>
          <w:pPr>
            <w:pStyle w:val="85"/>
            <w:spacing w:line="240" w:lineRule="auto"/>
            <w:jc w:val="center"/>
            <w:rPr>
              <w:rFonts w:ascii="Times New Roman" w:hAnsi="Times New Roman" w:eastAsia="仿宋" w:cs="Times New Roman"/>
              <w:b/>
              <w:color w:val="auto"/>
              <w:highlight w:val="none"/>
            </w:rPr>
          </w:pPr>
          <w:r>
            <w:rPr>
              <w:rFonts w:ascii="Times New Roman" w:hAnsi="Times New Roman" w:eastAsia="仿宋" w:cs="Times New Roman"/>
              <w:b/>
              <w:color w:val="auto"/>
              <w:highlight w:val="none"/>
              <w:lang w:val="zh-CN"/>
            </w:rPr>
            <w:t>目  录</w:t>
          </w:r>
        </w:p>
        <w:p>
          <w:pPr>
            <w:pStyle w:val="15"/>
            <w:tabs>
              <w:tab w:val="right" w:leader="dot" w:pos="10253"/>
            </w:tabs>
            <w:rPr>
              <w:rFonts w:ascii="Times New Roman" w:hAnsi="Times New Roman" w:cs="Times New Roman"/>
              <w:highlight w:val="none"/>
            </w:rPr>
          </w:pPr>
          <w:r>
            <w:rPr>
              <w:rFonts w:ascii="Times New Roman" w:hAnsi="Times New Roman" w:cs="Times New Roman"/>
              <w:highlight w:val="none"/>
              <w:lang w:val="zh-CN"/>
            </w:rPr>
            <w:fldChar w:fldCharType="begin"/>
          </w:r>
          <w:r>
            <w:rPr>
              <w:rFonts w:ascii="Times New Roman" w:hAnsi="Times New Roman" w:cs="Times New Roman"/>
              <w:highlight w:val="none"/>
              <w:lang w:val="zh-CN"/>
            </w:rPr>
            <w:instrText xml:space="preserve"> TOC \o "1-3" \h \z \u </w:instrText>
          </w:r>
          <w:r>
            <w:rPr>
              <w:rFonts w:ascii="Times New Roman" w:hAnsi="Times New Roman" w:cs="Times New Roman"/>
              <w:highlight w:val="none"/>
              <w:lang w:val="zh-CN"/>
            </w:rPr>
            <w:fldChar w:fldCharType="separate"/>
          </w:r>
          <w:r>
            <w:rPr>
              <w:highlight w:val="none"/>
            </w:rPr>
            <w:fldChar w:fldCharType="begin"/>
          </w:r>
          <w:r>
            <w:rPr>
              <w:highlight w:val="none"/>
            </w:rPr>
            <w:instrText xml:space="preserve"> HYPERLINK \l "_Toc19848" </w:instrText>
          </w:r>
          <w:r>
            <w:rPr>
              <w:highlight w:val="none"/>
            </w:rPr>
            <w:fldChar w:fldCharType="separate"/>
          </w:r>
          <w:r>
            <w:rPr>
              <w:rFonts w:ascii="Times New Roman" w:hAnsi="Times New Roman" w:cs="Times New Roman"/>
              <w:szCs w:val="32"/>
              <w:highlight w:val="none"/>
            </w:rPr>
            <w:t>一、全省总体准入要求</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_Toc19848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p>
        <w:p>
          <w:pPr>
            <w:pStyle w:val="15"/>
            <w:tabs>
              <w:tab w:val="right" w:leader="dot" w:pos="10253"/>
            </w:tabs>
            <w:rPr>
              <w:rFonts w:ascii="Times New Roman" w:hAnsi="Times New Roman" w:cs="Times New Roman"/>
              <w:highlight w:val="none"/>
            </w:rPr>
          </w:pPr>
          <w:r>
            <w:rPr>
              <w:highlight w:val="none"/>
            </w:rPr>
            <w:fldChar w:fldCharType="begin"/>
          </w:r>
          <w:r>
            <w:rPr>
              <w:highlight w:val="none"/>
            </w:rPr>
            <w:instrText xml:space="preserve"> HYPERLINK \l "_Toc14809" </w:instrText>
          </w:r>
          <w:r>
            <w:rPr>
              <w:highlight w:val="none"/>
            </w:rPr>
            <w:fldChar w:fldCharType="separate"/>
          </w:r>
          <w:r>
            <w:rPr>
              <w:rFonts w:ascii="Times New Roman" w:hAnsi="Times New Roman" w:cs="Times New Roman"/>
              <w:szCs w:val="32"/>
              <w:highlight w:val="none"/>
            </w:rPr>
            <w:t>二、重点流域总体准入要求</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_Toc14809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p>
        <w:p>
          <w:pPr>
            <w:pStyle w:val="15"/>
            <w:tabs>
              <w:tab w:val="right" w:leader="dot" w:pos="10253"/>
            </w:tabs>
            <w:rPr>
              <w:rFonts w:ascii="Times New Roman" w:hAnsi="Times New Roman" w:cs="Times New Roman"/>
              <w:highlight w:val="none"/>
            </w:rPr>
          </w:pPr>
          <w:r>
            <w:rPr>
              <w:highlight w:val="none"/>
            </w:rPr>
            <w:fldChar w:fldCharType="begin"/>
          </w:r>
          <w:r>
            <w:rPr>
              <w:highlight w:val="none"/>
            </w:rPr>
            <w:instrText xml:space="preserve"> HYPERLINK \l "_Toc23619" </w:instrText>
          </w:r>
          <w:r>
            <w:rPr>
              <w:highlight w:val="none"/>
            </w:rPr>
            <w:fldChar w:fldCharType="separate"/>
          </w:r>
          <w:r>
            <w:rPr>
              <w:rFonts w:ascii="Times New Roman" w:hAnsi="Times New Roman" w:cs="Times New Roman"/>
              <w:szCs w:val="32"/>
              <w:highlight w:val="none"/>
            </w:rPr>
            <w:t>三、各市（州）总体准入要求</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_Toc23619 \h </w:instrText>
          </w:r>
          <w:r>
            <w:rPr>
              <w:rFonts w:ascii="Times New Roman" w:hAnsi="Times New Roman" w:cs="Times New Roman"/>
              <w:highlight w:val="none"/>
            </w:rPr>
            <w:fldChar w:fldCharType="separate"/>
          </w:r>
          <w:r>
            <w:rPr>
              <w:rFonts w:ascii="Times New Roman" w:hAnsi="Times New Roman" w:cs="Times New Roman"/>
              <w:highlight w:val="none"/>
            </w:rPr>
            <w:t>1</w:t>
          </w:r>
          <w:r>
            <w:rPr>
              <w:rFonts w:ascii="Times New Roman" w:hAnsi="Times New Roman" w:cs="Times New Roman"/>
              <w:highlight w:val="none"/>
            </w:rPr>
            <w:fldChar w:fldCharType="end"/>
          </w:r>
          <w:r>
            <w:rPr>
              <w:rFonts w:ascii="Times New Roman" w:hAnsi="Times New Roman" w:cs="Times New Roman"/>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"_Toc24736" </w:instrText>
          </w:r>
          <w:r>
            <w:rPr>
              <w:highlight w:val="none"/>
            </w:rPr>
            <w:fldChar w:fldCharType="separate"/>
          </w:r>
          <w:r>
            <w:rPr>
              <w:rFonts w:ascii="Times New Roman" w:hAnsi="Times New Roman" w:cs="Times New Roman"/>
              <w:b/>
              <w:szCs w:val="32"/>
              <w:highlight w:val="none"/>
            </w:rPr>
            <w:t>（一）长春市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_Toc24736 \h </w:instrText>
          </w:r>
          <w:r>
            <w:rPr>
              <w:rFonts w:ascii="Times New Roman" w:hAnsi="Times New Roman" w:cs="Times New Roman"/>
              <w:b/>
              <w:highlight w:val="none"/>
            </w:rPr>
            <w:fldChar w:fldCharType="separate"/>
          </w:r>
          <w:r>
            <w:rPr>
              <w:rFonts w:ascii="Times New Roman" w:hAnsi="Times New Roman" w:cs="Times New Roman"/>
              <w:b/>
              <w:highlight w:val="none"/>
            </w:rPr>
            <w:t>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"_Toc27564" </w:instrText>
          </w:r>
          <w:r>
            <w:rPr>
              <w:highlight w:val="none"/>
            </w:rPr>
            <w:fldChar w:fldCharType="separate"/>
          </w:r>
          <w:r>
            <w:rPr>
              <w:rFonts w:ascii="Times New Roman" w:hAnsi="Times New Roman" w:cs="Times New Roman"/>
              <w:b/>
              <w:szCs w:val="32"/>
              <w:highlight w:val="none"/>
            </w:rPr>
            <w:t>（二）吉林市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_Toc27564 \h </w:instrText>
          </w:r>
          <w:r>
            <w:rPr>
              <w:rFonts w:ascii="Times New Roman" w:hAnsi="Times New Roman" w:cs="Times New Roman"/>
              <w:b/>
              <w:highlight w:val="none"/>
            </w:rPr>
            <w:fldChar w:fldCharType="separate"/>
          </w:r>
          <w:r>
            <w:rPr>
              <w:rFonts w:ascii="Times New Roman" w:hAnsi="Times New Roman" w:cs="Times New Roman"/>
              <w:b/>
              <w:highlight w:val="none"/>
            </w:rPr>
            <w:t>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"_Toc12626" </w:instrText>
          </w:r>
          <w:r>
            <w:rPr>
              <w:highlight w:val="none"/>
            </w:rPr>
            <w:fldChar w:fldCharType="separate"/>
          </w:r>
          <w:r>
            <w:rPr>
              <w:rFonts w:ascii="Times New Roman" w:hAnsi="Times New Roman" w:cs="Times New Roman"/>
              <w:b/>
              <w:szCs w:val="32"/>
              <w:highlight w:val="none"/>
            </w:rPr>
            <w:t>（三）四平市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_Toc12626 \h </w:instrText>
          </w:r>
          <w:r>
            <w:rPr>
              <w:rFonts w:ascii="Times New Roman" w:hAnsi="Times New Roman" w:cs="Times New Roman"/>
              <w:b/>
              <w:highlight w:val="none"/>
            </w:rPr>
            <w:fldChar w:fldCharType="separate"/>
          </w:r>
          <w:r>
            <w:rPr>
              <w:rFonts w:ascii="Times New Roman" w:hAnsi="Times New Roman" w:cs="Times New Roman"/>
              <w:b/>
              <w:highlight w:val="none"/>
            </w:rPr>
            <w:t>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"_Toc24179" </w:instrText>
          </w:r>
          <w:r>
            <w:rPr>
              <w:highlight w:val="none"/>
            </w:rPr>
            <w:fldChar w:fldCharType="separate"/>
          </w:r>
          <w:r>
            <w:rPr>
              <w:rFonts w:ascii="Times New Roman" w:hAnsi="Times New Roman" w:cs="Times New Roman"/>
              <w:b/>
              <w:szCs w:val="32"/>
              <w:highlight w:val="none"/>
            </w:rPr>
            <w:t>（四）辽源市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_Toc24179 \h </w:instrText>
          </w:r>
          <w:r>
            <w:rPr>
              <w:rFonts w:ascii="Times New Roman" w:hAnsi="Times New Roman" w:cs="Times New Roman"/>
              <w:b/>
              <w:highlight w:val="none"/>
            </w:rPr>
            <w:fldChar w:fldCharType="separate"/>
          </w:r>
          <w:r>
            <w:rPr>
              <w:rFonts w:ascii="Times New Roman" w:hAnsi="Times New Roman" w:cs="Times New Roman"/>
              <w:b/>
              <w:highlight w:val="none"/>
            </w:rPr>
            <w:t>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"_Toc1415" </w:instrText>
          </w:r>
          <w:r>
            <w:rPr>
              <w:highlight w:val="none"/>
            </w:rPr>
            <w:fldChar w:fldCharType="separate"/>
          </w:r>
          <w:r>
            <w:rPr>
              <w:rFonts w:ascii="Times New Roman" w:hAnsi="Times New Roman" w:cs="Times New Roman"/>
              <w:b/>
              <w:szCs w:val="32"/>
              <w:highlight w:val="none"/>
            </w:rPr>
            <w:t>（五）通化市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_Toc1415 \h </w:instrText>
          </w:r>
          <w:r>
            <w:rPr>
              <w:rFonts w:ascii="Times New Roman" w:hAnsi="Times New Roman" w:cs="Times New Roman"/>
              <w:b/>
              <w:highlight w:val="none"/>
            </w:rPr>
            <w:fldChar w:fldCharType="separate"/>
          </w:r>
          <w:r>
            <w:rPr>
              <w:rFonts w:ascii="Times New Roman" w:hAnsi="Times New Roman" w:cs="Times New Roman"/>
              <w:b/>
              <w:highlight w:val="none"/>
            </w:rPr>
            <w:t>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"_Toc19152" </w:instrText>
          </w:r>
          <w:r>
            <w:rPr>
              <w:highlight w:val="none"/>
            </w:rPr>
            <w:fldChar w:fldCharType="separate"/>
          </w:r>
          <w:r>
            <w:rPr>
              <w:rFonts w:ascii="Times New Roman" w:hAnsi="Times New Roman" w:cs="Times New Roman"/>
              <w:b/>
              <w:szCs w:val="32"/>
              <w:highlight w:val="none"/>
            </w:rPr>
            <w:t>（六）白山市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_Toc19152 \h </w:instrText>
          </w:r>
          <w:r>
            <w:rPr>
              <w:rFonts w:ascii="Times New Roman" w:hAnsi="Times New Roman" w:cs="Times New Roman"/>
              <w:b/>
              <w:highlight w:val="none"/>
            </w:rPr>
            <w:fldChar w:fldCharType="separate"/>
          </w:r>
          <w:r>
            <w:rPr>
              <w:rFonts w:ascii="Times New Roman" w:hAnsi="Times New Roman" w:cs="Times New Roman"/>
              <w:b/>
              <w:highlight w:val="none"/>
            </w:rPr>
            <w:t>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"_Toc14741" </w:instrText>
          </w:r>
          <w:r>
            <w:rPr>
              <w:highlight w:val="none"/>
            </w:rPr>
            <w:fldChar w:fldCharType="separate"/>
          </w:r>
          <w:r>
            <w:rPr>
              <w:rFonts w:ascii="Times New Roman" w:hAnsi="Times New Roman" w:cs="Times New Roman"/>
              <w:b/>
              <w:szCs w:val="32"/>
              <w:highlight w:val="none"/>
            </w:rPr>
            <w:t>（七）松原市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_Toc14741 \h </w:instrText>
          </w:r>
          <w:r>
            <w:rPr>
              <w:rFonts w:ascii="Times New Roman" w:hAnsi="Times New Roman" w:cs="Times New Roman"/>
              <w:b/>
              <w:highlight w:val="none"/>
            </w:rPr>
            <w:fldChar w:fldCharType="separate"/>
          </w:r>
          <w:r>
            <w:rPr>
              <w:rFonts w:ascii="Times New Roman" w:hAnsi="Times New Roman" w:cs="Times New Roman"/>
              <w:b/>
              <w:highlight w:val="none"/>
            </w:rPr>
            <w:t>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"_Toc9946" </w:instrText>
          </w:r>
          <w:r>
            <w:rPr>
              <w:highlight w:val="none"/>
            </w:rPr>
            <w:fldChar w:fldCharType="separate"/>
          </w:r>
          <w:r>
            <w:rPr>
              <w:rFonts w:ascii="Times New Roman" w:hAnsi="Times New Roman" w:cs="Times New Roman"/>
              <w:b/>
              <w:szCs w:val="32"/>
              <w:highlight w:val="none"/>
            </w:rPr>
            <w:t>（八）白城市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_Toc9946 \h </w:instrText>
          </w:r>
          <w:r>
            <w:rPr>
              <w:rFonts w:ascii="Times New Roman" w:hAnsi="Times New Roman" w:cs="Times New Roman"/>
              <w:b/>
              <w:highlight w:val="none"/>
            </w:rPr>
            <w:fldChar w:fldCharType="separate"/>
          </w:r>
          <w:r>
            <w:rPr>
              <w:rFonts w:ascii="Times New Roman" w:hAnsi="Times New Roman" w:cs="Times New Roman"/>
              <w:b/>
              <w:highlight w:val="none"/>
            </w:rPr>
            <w:t>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"_Toc4607" </w:instrText>
          </w:r>
          <w:r>
            <w:rPr>
              <w:highlight w:val="none"/>
            </w:rPr>
            <w:fldChar w:fldCharType="separate"/>
          </w:r>
          <w:r>
            <w:rPr>
              <w:rFonts w:ascii="Times New Roman" w:hAnsi="Times New Roman" w:cs="Times New Roman"/>
              <w:b/>
              <w:szCs w:val="32"/>
              <w:highlight w:val="none"/>
            </w:rPr>
            <w:t>（九）延边州</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_Toc4607 \h </w:instrText>
          </w:r>
          <w:r>
            <w:rPr>
              <w:rFonts w:ascii="Times New Roman" w:hAnsi="Times New Roman" w:cs="Times New Roman"/>
              <w:b/>
              <w:highlight w:val="none"/>
            </w:rPr>
            <w:fldChar w:fldCharType="separate"/>
          </w:r>
          <w:r>
            <w:rPr>
              <w:rFonts w:ascii="Times New Roman" w:hAnsi="Times New Roman" w:cs="Times New Roman"/>
              <w:b/>
              <w:highlight w:val="none"/>
            </w:rPr>
            <w:t>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"_Toc22693" </w:instrText>
          </w:r>
          <w:r>
            <w:rPr>
              <w:highlight w:val="none"/>
            </w:rPr>
            <w:fldChar w:fldCharType="separate"/>
          </w:r>
          <w:r>
            <w:rPr>
              <w:rFonts w:ascii="Times New Roman" w:hAnsi="Times New Roman" w:cs="Times New Roman"/>
              <w:b/>
              <w:szCs w:val="32"/>
              <w:highlight w:val="none"/>
            </w:rPr>
            <w:t>（十）长白山保护开发区</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_Toc22693 \h </w:instrText>
          </w:r>
          <w:r>
            <w:rPr>
              <w:rFonts w:ascii="Times New Roman" w:hAnsi="Times New Roman" w:cs="Times New Roman"/>
              <w:b/>
              <w:highlight w:val="none"/>
            </w:rPr>
            <w:fldChar w:fldCharType="separate"/>
          </w:r>
          <w:r>
            <w:rPr>
              <w:rFonts w:ascii="Times New Roman" w:hAnsi="Times New Roman" w:cs="Times New Roman"/>
              <w:b/>
              <w:highlight w:val="none"/>
            </w:rPr>
            <w:t>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"_Toc18850" </w:instrText>
          </w:r>
          <w:r>
            <w:rPr>
              <w:highlight w:val="none"/>
            </w:rPr>
            <w:fldChar w:fldCharType="separate"/>
          </w:r>
          <w:r>
            <w:rPr>
              <w:rFonts w:ascii="Times New Roman" w:hAnsi="Times New Roman" w:cs="Times New Roman"/>
              <w:b/>
              <w:szCs w:val="32"/>
              <w:highlight w:val="none"/>
            </w:rPr>
            <w:t>（十一）梅河口市</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_Toc18850 \h </w:instrText>
          </w:r>
          <w:r>
            <w:rPr>
              <w:rFonts w:ascii="Times New Roman" w:hAnsi="Times New Roman" w:cs="Times New Roman"/>
              <w:b/>
              <w:highlight w:val="none"/>
            </w:rPr>
            <w:fldChar w:fldCharType="separate"/>
          </w:r>
          <w:r>
            <w:rPr>
              <w:rFonts w:ascii="Times New Roman" w:hAnsi="Times New Roman" w:cs="Times New Roman"/>
              <w:b/>
              <w:highlight w:val="none"/>
            </w:rPr>
            <w:t>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5"/>
            <w:tabs>
              <w:tab w:val="right" w:leader="dot" w:pos="10253"/>
            </w:tabs>
            <w:rPr>
              <w:rFonts w:ascii="Times New Roman" w:hAnsi="Times New Roman" w:cs="Times New Roman"/>
              <w:highlight w:val="none"/>
            </w:rPr>
          </w:pPr>
          <w:r>
            <w:rPr>
              <w:highlight w:val="none"/>
            </w:rPr>
            <w:fldChar w:fldCharType="begin"/>
          </w:r>
          <w:r>
            <w:rPr>
              <w:highlight w:val="none"/>
            </w:rPr>
            <w:instrText xml:space="preserve"> HYPERLINK \l "_Toc20559" </w:instrText>
          </w:r>
          <w:r>
            <w:rPr>
              <w:highlight w:val="none"/>
            </w:rPr>
            <w:fldChar w:fldCharType="separate"/>
          </w:r>
          <w:r>
            <w:rPr>
              <w:rFonts w:ascii="Times New Roman" w:hAnsi="Times New Roman" w:cs="Times New Roman"/>
              <w:szCs w:val="32"/>
              <w:highlight w:val="none"/>
            </w:rPr>
            <w:t>四、各县（市、区）管控单元准入要求</w:t>
          </w:r>
          <w:r>
            <w:rPr>
              <w:rFonts w:ascii="Times New Roman" w:hAnsi="Times New Roman" w:cs="Times New Roman"/>
              <w:highlight w:val="none"/>
            </w:rPr>
            <w:tab/>
          </w:r>
          <w:r>
            <w:rPr>
              <w:rFonts w:ascii="Times New Roman" w:hAnsi="Times New Roman" w:cs="Times New Roman"/>
              <w:highlight w:val="none"/>
            </w:rPr>
            <w:fldChar w:fldCharType="begin"/>
          </w:r>
          <w:r>
            <w:rPr>
              <w:rFonts w:ascii="Times New Roman" w:hAnsi="Times New Roman" w:cs="Times New Roman"/>
              <w:highlight w:val="none"/>
            </w:rPr>
            <w:instrText xml:space="preserve"> PAGEREF _Toc20559 \h </w:instrText>
          </w:r>
          <w:r>
            <w:rPr>
              <w:rFonts w:ascii="Times New Roman" w:hAnsi="Times New Roman" w:cs="Times New Roman"/>
              <w:highlight w:val="none"/>
            </w:rPr>
            <w:fldChar w:fldCharType="separate"/>
          </w:r>
          <w:r>
            <w:rPr>
              <w:rFonts w:ascii="Times New Roman" w:hAnsi="Times New Roman" w:cs="Times New Roman"/>
              <w:highlight w:val="none"/>
            </w:rPr>
            <w:t>5</w:t>
          </w:r>
          <w:r>
            <w:rPr>
              <w:rFonts w:ascii="Times New Roman" w:hAnsi="Times New Roman" w:cs="Times New Roman"/>
              <w:highlight w:val="none"/>
            </w:rPr>
            <w:fldChar w:fldCharType="end"/>
          </w:r>
          <w:r>
            <w:rPr>
              <w:rFonts w:ascii="Times New Roman" w:hAnsi="Times New Roman" w:cs="Times New Roman"/>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"_Toc30226" </w:instrText>
          </w:r>
          <w:r>
            <w:rPr>
              <w:highlight w:val="none"/>
            </w:rPr>
            <w:fldChar w:fldCharType="separate"/>
          </w:r>
          <w:r>
            <w:rPr>
              <w:rFonts w:ascii="Times New Roman" w:hAnsi="Times New Roman" w:cs="Times New Roman"/>
              <w:b/>
              <w:szCs w:val="32"/>
              <w:highlight w:val="none"/>
            </w:rPr>
            <w:t>（一）长春市南关区生态环境准入清单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_Toc30226 \h </w:instrText>
          </w:r>
          <w:r>
            <w:rPr>
              <w:rFonts w:ascii="Times New Roman" w:hAnsi="Times New Roman" w:cs="Times New Roman"/>
              <w:b/>
              <w:highlight w:val="none"/>
            </w:rPr>
            <w:fldChar w:fldCharType="separate"/>
          </w:r>
          <w:r>
            <w:rPr>
              <w:rFonts w:ascii="Times New Roman" w:hAnsi="Times New Roman" w:cs="Times New Roman"/>
              <w:b/>
              <w:highlight w:val="none"/>
            </w:rPr>
            <w:t>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"_Toc17242" </w:instrText>
          </w:r>
          <w:r>
            <w:rPr>
              <w:highlight w:val="none"/>
            </w:rPr>
            <w:fldChar w:fldCharType="separate"/>
          </w:r>
          <w:r>
            <w:rPr>
              <w:rFonts w:ascii="Times New Roman" w:hAnsi="Times New Roman" w:cs="Times New Roman"/>
              <w:b/>
              <w:szCs w:val="32"/>
              <w:highlight w:val="none"/>
            </w:rPr>
            <w:t>（二）长春市宽城区生态环境准入清单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_Toc17242 \h </w:instrText>
          </w:r>
          <w:r>
            <w:rPr>
              <w:rFonts w:ascii="Times New Roman" w:hAnsi="Times New Roman" w:cs="Times New Roman"/>
              <w:b/>
              <w:highlight w:val="none"/>
            </w:rPr>
            <w:fldChar w:fldCharType="separate"/>
          </w:r>
          <w:r>
            <w:rPr>
              <w:rFonts w:ascii="Times New Roman" w:hAnsi="Times New Roman" w:cs="Times New Roman"/>
              <w:b/>
              <w:highlight w:val="none"/>
            </w:rPr>
            <w:t>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"_Toc7165" </w:instrText>
          </w:r>
          <w:r>
            <w:rPr>
              <w:highlight w:val="none"/>
            </w:rPr>
            <w:fldChar w:fldCharType="separate"/>
          </w:r>
          <w:r>
            <w:rPr>
              <w:rFonts w:ascii="Times New Roman" w:hAnsi="Times New Roman" w:cs="Times New Roman"/>
              <w:b/>
              <w:szCs w:val="32"/>
              <w:highlight w:val="none"/>
            </w:rPr>
            <w:t>（三）长春市朝阳区生态环境准入清单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_Toc7165 \h </w:instrText>
          </w:r>
          <w:r>
            <w:rPr>
              <w:rFonts w:ascii="Times New Roman" w:hAnsi="Times New Roman" w:cs="Times New Roman"/>
              <w:b/>
              <w:highlight w:val="none"/>
            </w:rPr>
            <w:fldChar w:fldCharType="separate"/>
          </w:r>
          <w:r>
            <w:rPr>
              <w:rFonts w:ascii="Times New Roman" w:hAnsi="Times New Roman" w:cs="Times New Roman"/>
              <w:b/>
              <w:highlight w:val="none"/>
            </w:rPr>
            <w:t>12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"_Toc7183" </w:instrText>
          </w:r>
          <w:r>
            <w:rPr>
              <w:highlight w:val="none"/>
            </w:rPr>
            <w:fldChar w:fldCharType="separate"/>
          </w:r>
          <w:r>
            <w:rPr>
              <w:rFonts w:ascii="Times New Roman" w:hAnsi="Times New Roman" w:cs="Times New Roman"/>
              <w:b/>
              <w:szCs w:val="32"/>
              <w:highlight w:val="none"/>
            </w:rPr>
            <w:t>（四）长春市二道区生态环境准入清单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_Toc7183 \h </w:instrText>
          </w:r>
          <w:r>
            <w:rPr>
              <w:rFonts w:ascii="Times New Roman" w:hAnsi="Times New Roman" w:cs="Times New Roman"/>
              <w:b/>
              <w:highlight w:val="none"/>
            </w:rPr>
            <w:fldChar w:fldCharType="separate"/>
          </w:r>
          <w:r>
            <w:rPr>
              <w:rFonts w:ascii="Times New Roman" w:hAnsi="Times New Roman" w:cs="Times New Roman"/>
              <w:b/>
              <w:highlight w:val="none"/>
            </w:rPr>
            <w:t>15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"_Toc23445" </w:instrText>
          </w:r>
          <w:r>
            <w:rPr>
              <w:highlight w:val="none"/>
            </w:rPr>
            <w:fldChar w:fldCharType="separate"/>
          </w:r>
          <w:r>
            <w:rPr>
              <w:rFonts w:ascii="Times New Roman" w:hAnsi="Times New Roman" w:cs="Times New Roman"/>
              <w:b/>
              <w:szCs w:val="32"/>
              <w:highlight w:val="none"/>
            </w:rPr>
            <w:t>（五）长春市绿园区生态环境准入清单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_Toc23445 \h </w:instrText>
          </w:r>
          <w:r>
            <w:rPr>
              <w:rFonts w:ascii="Times New Roman" w:hAnsi="Times New Roman" w:cs="Times New Roman"/>
              <w:b/>
              <w:highlight w:val="none"/>
            </w:rPr>
            <w:fldChar w:fldCharType="separate"/>
          </w:r>
          <w:r>
            <w:rPr>
              <w:rFonts w:ascii="Times New Roman" w:hAnsi="Times New Roman" w:cs="Times New Roman"/>
              <w:b/>
              <w:highlight w:val="none"/>
            </w:rPr>
            <w:t>20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"_Toc1213" </w:instrText>
          </w:r>
          <w:r>
            <w:rPr>
              <w:highlight w:val="none"/>
            </w:rPr>
            <w:fldChar w:fldCharType="separate"/>
          </w:r>
          <w:r>
            <w:rPr>
              <w:rFonts w:ascii="Times New Roman" w:hAnsi="Times New Roman" w:cs="Times New Roman"/>
              <w:b/>
              <w:szCs w:val="32"/>
              <w:highlight w:val="none"/>
            </w:rPr>
            <w:t>（六）长春市双阳区生态环境准入清单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_Toc1213 \h </w:instrText>
          </w:r>
          <w:r>
            <w:rPr>
              <w:rFonts w:ascii="Times New Roman" w:hAnsi="Times New Roman" w:cs="Times New Roman"/>
              <w:b/>
              <w:highlight w:val="none"/>
            </w:rPr>
            <w:fldChar w:fldCharType="separate"/>
          </w:r>
          <w:r>
            <w:rPr>
              <w:rFonts w:ascii="Times New Roman" w:hAnsi="Times New Roman" w:cs="Times New Roman"/>
              <w:b/>
              <w:highlight w:val="none"/>
            </w:rPr>
            <w:t>23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"_Toc7498" </w:instrText>
          </w:r>
          <w:r>
            <w:rPr>
              <w:highlight w:val="none"/>
            </w:rPr>
            <w:fldChar w:fldCharType="separate"/>
          </w:r>
          <w:r>
            <w:rPr>
              <w:rFonts w:ascii="Times New Roman" w:hAnsi="Times New Roman" w:cs="Times New Roman"/>
              <w:b/>
              <w:szCs w:val="32"/>
              <w:highlight w:val="none"/>
            </w:rPr>
            <w:t>（七）长春市九台区生态环境准入清单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_Toc7498 \h </w:instrText>
          </w:r>
          <w:r>
            <w:rPr>
              <w:rFonts w:ascii="Times New Roman" w:hAnsi="Times New Roman" w:cs="Times New Roman"/>
              <w:b/>
              <w:highlight w:val="none"/>
            </w:rPr>
            <w:fldChar w:fldCharType="separate"/>
          </w:r>
          <w:r>
            <w:rPr>
              <w:rFonts w:ascii="Times New Roman" w:hAnsi="Times New Roman" w:cs="Times New Roman"/>
              <w:b/>
              <w:highlight w:val="none"/>
            </w:rPr>
            <w:t>26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"_Toc30214" </w:instrText>
          </w:r>
          <w:r>
            <w:rPr>
              <w:highlight w:val="none"/>
            </w:rPr>
            <w:fldChar w:fldCharType="separate"/>
          </w:r>
          <w:r>
            <w:rPr>
              <w:rFonts w:ascii="Times New Roman" w:hAnsi="Times New Roman" w:cs="Times New Roman"/>
              <w:b/>
              <w:szCs w:val="32"/>
              <w:highlight w:val="none"/>
            </w:rPr>
            <w:t>（八）长春市农安县生态环境准入清单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_Toc30214 \h </w:instrText>
          </w:r>
          <w:r>
            <w:rPr>
              <w:rFonts w:ascii="Times New Roman" w:hAnsi="Times New Roman" w:cs="Times New Roman"/>
              <w:b/>
              <w:highlight w:val="none"/>
            </w:rPr>
            <w:fldChar w:fldCharType="separate"/>
          </w:r>
          <w:r>
            <w:rPr>
              <w:rFonts w:ascii="Times New Roman" w:hAnsi="Times New Roman" w:cs="Times New Roman"/>
              <w:b/>
              <w:highlight w:val="none"/>
            </w:rPr>
            <w:t>30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"_Toc10589" </w:instrText>
          </w:r>
          <w:r>
            <w:rPr>
              <w:highlight w:val="none"/>
            </w:rPr>
            <w:fldChar w:fldCharType="separate"/>
          </w:r>
          <w:r>
            <w:rPr>
              <w:rFonts w:ascii="Times New Roman" w:hAnsi="Times New Roman" w:cs="Times New Roman"/>
              <w:b/>
              <w:szCs w:val="32"/>
              <w:highlight w:val="none"/>
            </w:rPr>
            <w:t>（九）长春市榆树市生态环境准入清单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_Toc10589 \h </w:instrText>
          </w:r>
          <w:r>
            <w:rPr>
              <w:rFonts w:ascii="Times New Roman" w:hAnsi="Times New Roman" w:cs="Times New Roman"/>
              <w:b/>
              <w:highlight w:val="none"/>
            </w:rPr>
            <w:fldChar w:fldCharType="separate"/>
          </w:r>
          <w:r>
            <w:rPr>
              <w:rFonts w:ascii="Times New Roman" w:hAnsi="Times New Roman" w:cs="Times New Roman"/>
              <w:b/>
              <w:highlight w:val="none"/>
            </w:rPr>
            <w:t>34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"_Toc10404" </w:instrText>
          </w:r>
          <w:r>
            <w:rPr>
              <w:highlight w:val="none"/>
            </w:rPr>
            <w:fldChar w:fldCharType="separate"/>
          </w:r>
          <w:r>
            <w:rPr>
              <w:rFonts w:ascii="Times New Roman" w:hAnsi="Times New Roman" w:cs="Times New Roman"/>
              <w:b/>
              <w:szCs w:val="32"/>
              <w:highlight w:val="none"/>
            </w:rPr>
            <w:t>（十）长春市德惠市生态环境准入清单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_Toc10404 \h </w:instrText>
          </w:r>
          <w:r>
            <w:rPr>
              <w:rFonts w:ascii="Times New Roman" w:hAnsi="Times New Roman" w:cs="Times New Roman"/>
              <w:b/>
              <w:highlight w:val="none"/>
            </w:rPr>
            <w:fldChar w:fldCharType="separate"/>
          </w:r>
          <w:r>
            <w:rPr>
              <w:rFonts w:ascii="Times New Roman" w:hAnsi="Times New Roman" w:cs="Times New Roman"/>
              <w:b/>
              <w:highlight w:val="none"/>
            </w:rPr>
            <w:t>37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"_Toc10522" </w:instrText>
          </w:r>
          <w:r>
            <w:rPr>
              <w:highlight w:val="none"/>
            </w:rPr>
            <w:fldChar w:fldCharType="separate"/>
          </w:r>
          <w:r>
            <w:rPr>
              <w:rFonts w:ascii="Times New Roman" w:hAnsi="Times New Roman" w:cs="Times New Roman"/>
              <w:b/>
              <w:szCs w:val="32"/>
              <w:highlight w:val="none"/>
            </w:rPr>
            <w:t>（十一）长春市公主岭市生态环境准入清单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_Toc10522 \h </w:instrText>
          </w:r>
          <w:r>
            <w:rPr>
              <w:rFonts w:ascii="Times New Roman" w:hAnsi="Times New Roman" w:cs="Times New Roman"/>
              <w:b/>
              <w:highlight w:val="none"/>
            </w:rPr>
            <w:fldChar w:fldCharType="separate"/>
          </w:r>
          <w:r>
            <w:rPr>
              <w:rFonts w:ascii="Times New Roman" w:hAnsi="Times New Roman" w:cs="Times New Roman"/>
              <w:b/>
              <w:highlight w:val="none"/>
            </w:rPr>
            <w:t>41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"_Toc3658" </w:instrText>
          </w:r>
          <w:r>
            <w:rPr>
              <w:highlight w:val="none"/>
            </w:rPr>
            <w:fldChar w:fldCharType="separate"/>
          </w:r>
          <w:r>
            <w:rPr>
              <w:rFonts w:ascii="Times New Roman" w:hAnsi="Times New Roman" w:cs="Times New Roman"/>
              <w:b/>
              <w:szCs w:val="32"/>
              <w:highlight w:val="none"/>
            </w:rPr>
            <w:t>（十二）吉林市昌邑区生态环境准入清单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_Toc3658 \h </w:instrText>
          </w:r>
          <w:r>
            <w:rPr>
              <w:rFonts w:ascii="Times New Roman" w:hAnsi="Times New Roman" w:cs="Times New Roman"/>
              <w:b/>
              <w:highlight w:val="none"/>
            </w:rPr>
            <w:fldChar w:fldCharType="separate"/>
          </w:r>
          <w:r>
            <w:rPr>
              <w:rFonts w:ascii="Times New Roman" w:hAnsi="Times New Roman" w:cs="Times New Roman"/>
              <w:b/>
              <w:highlight w:val="none"/>
            </w:rPr>
            <w:t>46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"_Toc18096" </w:instrText>
          </w:r>
          <w:r>
            <w:rPr>
              <w:highlight w:val="none"/>
            </w:rPr>
            <w:fldChar w:fldCharType="separate"/>
          </w:r>
          <w:r>
            <w:rPr>
              <w:rFonts w:ascii="Times New Roman" w:hAnsi="Times New Roman" w:cs="Times New Roman"/>
              <w:b/>
              <w:szCs w:val="32"/>
              <w:highlight w:val="none"/>
            </w:rPr>
            <w:t>（十三）吉林市龙潭区生态环境准入清单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_Toc18096 \h </w:instrText>
          </w:r>
          <w:r>
            <w:rPr>
              <w:rFonts w:ascii="Times New Roman" w:hAnsi="Times New Roman" w:cs="Times New Roman"/>
              <w:b/>
              <w:highlight w:val="none"/>
            </w:rPr>
            <w:fldChar w:fldCharType="separate"/>
          </w:r>
          <w:r>
            <w:rPr>
              <w:rFonts w:ascii="Times New Roman" w:hAnsi="Times New Roman" w:cs="Times New Roman"/>
              <w:b/>
              <w:highlight w:val="none"/>
            </w:rPr>
            <w:t>50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"_Toc21131" </w:instrText>
          </w:r>
          <w:r>
            <w:rPr>
              <w:highlight w:val="none"/>
            </w:rPr>
            <w:fldChar w:fldCharType="separate"/>
          </w:r>
          <w:r>
            <w:rPr>
              <w:rFonts w:ascii="Times New Roman" w:hAnsi="Times New Roman" w:cs="Times New Roman"/>
              <w:b/>
              <w:szCs w:val="32"/>
              <w:highlight w:val="none"/>
            </w:rPr>
            <w:t>（十四） 吉林市船营区生态环境准入清单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_Toc21131 \h </w:instrText>
          </w:r>
          <w:r>
            <w:rPr>
              <w:rFonts w:ascii="Times New Roman" w:hAnsi="Times New Roman" w:cs="Times New Roman"/>
              <w:b/>
              <w:highlight w:val="none"/>
            </w:rPr>
            <w:fldChar w:fldCharType="separate"/>
          </w:r>
          <w:r>
            <w:rPr>
              <w:rFonts w:ascii="Times New Roman" w:hAnsi="Times New Roman" w:cs="Times New Roman"/>
              <w:b/>
              <w:highlight w:val="none"/>
            </w:rPr>
            <w:t>53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"_Toc2309" </w:instrText>
          </w:r>
          <w:r>
            <w:rPr>
              <w:highlight w:val="none"/>
            </w:rPr>
            <w:fldChar w:fldCharType="separate"/>
          </w:r>
          <w:r>
            <w:rPr>
              <w:rFonts w:ascii="Times New Roman" w:hAnsi="Times New Roman" w:cs="Times New Roman"/>
              <w:b/>
              <w:szCs w:val="32"/>
              <w:highlight w:val="none"/>
            </w:rPr>
            <w:t>（十五） 吉林市丰满区生态环境准入清单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_Toc2309 \h </w:instrText>
          </w:r>
          <w:r>
            <w:rPr>
              <w:rFonts w:ascii="Times New Roman" w:hAnsi="Times New Roman" w:cs="Times New Roman"/>
              <w:b/>
              <w:highlight w:val="none"/>
            </w:rPr>
            <w:fldChar w:fldCharType="separate"/>
          </w:r>
          <w:r>
            <w:rPr>
              <w:rFonts w:ascii="Times New Roman" w:hAnsi="Times New Roman" w:cs="Times New Roman"/>
              <w:b/>
              <w:highlight w:val="none"/>
            </w:rPr>
            <w:t>56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"_Toc11241" </w:instrText>
          </w:r>
          <w:r>
            <w:rPr>
              <w:highlight w:val="none"/>
            </w:rPr>
            <w:fldChar w:fldCharType="separate"/>
          </w:r>
          <w:r>
            <w:rPr>
              <w:rFonts w:ascii="Times New Roman" w:hAnsi="Times New Roman" w:cs="Times New Roman"/>
              <w:b/>
              <w:szCs w:val="32"/>
              <w:highlight w:val="none"/>
            </w:rPr>
            <w:t>（十六） 吉林市永吉县生态环境准入清单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_Toc11241 \h </w:instrText>
          </w:r>
          <w:r>
            <w:rPr>
              <w:rFonts w:ascii="Times New Roman" w:hAnsi="Times New Roman" w:cs="Times New Roman"/>
              <w:b/>
              <w:highlight w:val="none"/>
            </w:rPr>
            <w:fldChar w:fldCharType="separate"/>
          </w:r>
          <w:r>
            <w:rPr>
              <w:rFonts w:ascii="Times New Roman" w:hAnsi="Times New Roman" w:cs="Times New Roman"/>
              <w:b/>
              <w:highlight w:val="none"/>
            </w:rPr>
            <w:t>62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"_Toc13050" </w:instrText>
          </w:r>
          <w:r>
            <w:rPr>
              <w:highlight w:val="none"/>
            </w:rPr>
            <w:fldChar w:fldCharType="separate"/>
          </w:r>
          <w:r>
            <w:rPr>
              <w:rFonts w:ascii="Times New Roman" w:hAnsi="Times New Roman" w:cs="Times New Roman"/>
              <w:b/>
              <w:szCs w:val="32"/>
              <w:highlight w:val="none"/>
            </w:rPr>
            <w:t>（十七） 吉林市蛟河市生态环境准入清单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_Toc13050 \h </w:instrText>
          </w:r>
          <w:r>
            <w:rPr>
              <w:rFonts w:ascii="Times New Roman" w:hAnsi="Times New Roman" w:cs="Times New Roman"/>
              <w:b/>
              <w:highlight w:val="none"/>
            </w:rPr>
            <w:fldChar w:fldCharType="separate"/>
          </w:r>
          <w:r>
            <w:rPr>
              <w:rFonts w:ascii="Times New Roman" w:hAnsi="Times New Roman" w:cs="Times New Roman"/>
              <w:b/>
              <w:highlight w:val="none"/>
            </w:rPr>
            <w:t>66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"_Toc18046" </w:instrText>
          </w:r>
          <w:r>
            <w:rPr>
              <w:highlight w:val="none"/>
            </w:rPr>
            <w:fldChar w:fldCharType="separate"/>
          </w:r>
          <w:r>
            <w:rPr>
              <w:rFonts w:ascii="Times New Roman" w:hAnsi="Times New Roman" w:cs="Times New Roman"/>
              <w:b/>
              <w:szCs w:val="32"/>
              <w:highlight w:val="none"/>
            </w:rPr>
            <w:t>（十八） 吉林市桦甸市生态环境准入清单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_Toc18046 \h </w:instrText>
          </w:r>
          <w:r>
            <w:rPr>
              <w:rFonts w:ascii="Times New Roman" w:hAnsi="Times New Roman" w:cs="Times New Roman"/>
              <w:b/>
              <w:highlight w:val="none"/>
            </w:rPr>
            <w:fldChar w:fldCharType="separate"/>
          </w:r>
          <w:r>
            <w:rPr>
              <w:rFonts w:ascii="Times New Roman" w:hAnsi="Times New Roman" w:cs="Times New Roman"/>
              <w:b/>
              <w:highlight w:val="none"/>
            </w:rPr>
            <w:t>70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"_Toc27129" </w:instrText>
          </w:r>
          <w:r>
            <w:rPr>
              <w:highlight w:val="none"/>
            </w:rPr>
            <w:fldChar w:fldCharType="separate"/>
          </w:r>
          <w:r>
            <w:rPr>
              <w:rFonts w:ascii="Times New Roman" w:hAnsi="Times New Roman" w:cs="Times New Roman"/>
              <w:b/>
              <w:szCs w:val="32"/>
              <w:highlight w:val="none"/>
            </w:rPr>
            <w:t>（十九）吉林市舒兰市生态环境准入清单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_Toc27129 \h </w:instrText>
          </w:r>
          <w:r>
            <w:rPr>
              <w:rFonts w:ascii="Times New Roman" w:hAnsi="Times New Roman" w:cs="Times New Roman"/>
              <w:b/>
              <w:highlight w:val="none"/>
            </w:rPr>
            <w:fldChar w:fldCharType="separate"/>
          </w:r>
          <w:r>
            <w:rPr>
              <w:rFonts w:ascii="Times New Roman" w:hAnsi="Times New Roman" w:cs="Times New Roman"/>
              <w:b/>
              <w:highlight w:val="none"/>
            </w:rPr>
            <w:t>74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"_Toc7396" </w:instrText>
          </w:r>
          <w:r>
            <w:rPr>
              <w:highlight w:val="none"/>
            </w:rPr>
            <w:fldChar w:fldCharType="separate"/>
          </w:r>
          <w:r>
            <w:rPr>
              <w:rFonts w:ascii="Times New Roman" w:hAnsi="Times New Roman" w:cs="Times New Roman"/>
              <w:b/>
              <w:szCs w:val="32"/>
              <w:highlight w:val="none"/>
            </w:rPr>
            <w:t>（二十） 吉林市磐石市生态环境准入清单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_Toc7396 \h </w:instrText>
          </w:r>
          <w:r>
            <w:rPr>
              <w:rFonts w:ascii="Times New Roman" w:hAnsi="Times New Roman" w:cs="Times New Roman"/>
              <w:b/>
              <w:highlight w:val="none"/>
            </w:rPr>
            <w:fldChar w:fldCharType="separate"/>
          </w:r>
          <w:r>
            <w:rPr>
              <w:rFonts w:ascii="Times New Roman" w:hAnsi="Times New Roman" w:cs="Times New Roman"/>
              <w:b/>
              <w:highlight w:val="none"/>
            </w:rPr>
            <w:t>78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"_Toc17857" </w:instrText>
          </w:r>
          <w:r>
            <w:rPr>
              <w:highlight w:val="none"/>
            </w:rPr>
            <w:fldChar w:fldCharType="separate"/>
          </w:r>
          <w:r>
            <w:rPr>
              <w:rFonts w:ascii="Times New Roman" w:hAnsi="Times New Roman" w:cs="Times New Roman"/>
              <w:b/>
              <w:szCs w:val="32"/>
              <w:highlight w:val="none"/>
            </w:rPr>
            <w:t>（二十一）四平市铁西区生态环境准入清单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_Toc17857 \h </w:instrText>
          </w:r>
          <w:r>
            <w:rPr>
              <w:rFonts w:ascii="Times New Roman" w:hAnsi="Times New Roman" w:cs="Times New Roman"/>
              <w:b/>
              <w:highlight w:val="none"/>
            </w:rPr>
            <w:fldChar w:fldCharType="separate"/>
          </w:r>
          <w:r>
            <w:rPr>
              <w:rFonts w:ascii="Times New Roman" w:hAnsi="Times New Roman" w:cs="Times New Roman"/>
              <w:b/>
              <w:highlight w:val="none"/>
            </w:rPr>
            <w:t>83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"_Toc31034" </w:instrText>
          </w:r>
          <w:r>
            <w:rPr>
              <w:highlight w:val="none"/>
            </w:rPr>
            <w:fldChar w:fldCharType="separate"/>
          </w:r>
          <w:r>
            <w:rPr>
              <w:rFonts w:ascii="Times New Roman" w:hAnsi="Times New Roman" w:cs="Times New Roman"/>
              <w:b/>
              <w:szCs w:val="32"/>
              <w:highlight w:val="none"/>
            </w:rPr>
            <w:t>（二十二） 四平市铁东区生态环境准入清单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_Toc31034 \h </w:instrText>
          </w:r>
          <w:r>
            <w:rPr>
              <w:rFonts w:ascii="Times New Roman" w:hAnsi="Times New Roman" w:cs="Times New Roman"/>
              <w:b/>
              <w:highlight w:val="none"/>
            </w:rPr>
            <w:fldChar w:fldCharType="separate"/>
          </w:r>
          <w:r>
            <w:rPr>
              <w:rFonts w:ascii="Times New Roman" w:hAnsi="Times New Roman" w:cs="Times New Roman"/>
              <w:b/>
              <w:highlight w:val="none"/>
            </w:rPr>
            <w:t>87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"_Toc15313" </w:instrText>
          </w:r>
          <w:r>
            <w:rPr>
              <w:highlight w:val="none"/>
            </w:rPr>
            <w:fldChar w:fldCharType="separate"/>
          </w:r>
          <w:r>
            <w:rPr>
              <w:rFonts w:ascii="Times New Roman" w:hAnsi="Times New Roman" w:cs="Times New Roman"/>
              <w:b/>
              <w:szCs w:val="32"/>
              <w:highlight w:val="none"/>
            </w:rPr>
            <w:t>（二十三） 四平市梨树县生态环境准入清单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_Toc15313 \h </w:instrText>
          </w:r>
          <w:r>
            <w:rPr>
              <w:rFonts w:ascii="Times New Roman" w:hAnsi="Times New Roman" w:cs="Times New Roman"/>
              <w:b/>
              <w:highlight w:val="none"/>
            </w:rPr>
            <w:fldChar w:fldCharType="separate"/>
          </w:r>
          <w:r>
            <w:rPr>
              <w:rFonts w:ascii="Times New Roman" w:hAnsi="Times New Roman" w:cs="Times New Roman"/>
              <w:b/>
              <w:highlight w:val="none"/>
            </w:rPr>
            <w:t>91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"_Toc26491" </w:instrText>
          </w:r>
          <w:r>
            <w:rPr>
              <w:highlight w:val="none"/>
            </w:rPr>
            <w:fldChar w:fldCharType="separate"/>
          </w:r>
          <w:r>
            <w:rPr>
              <w:rFonts w:ascii="Times New Roman" w:hAnsi="Times New Roman" w:cs="Times New Roman"/>
              <w:b/>
              <w:szCs w:val="32"/>
              <w:highlight w:val="none"/>
            </w:rPr>
            <w:t>（二十四） 四平市伊通县生态环境准入清单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_Toc26491 \h </w:instrText>
          </w:r>
          <w:r>
            <w:rPr>
              <w:rFonts w:ascii="Times New Roman" w:hAnsi="Times New Roman" w:cs="Times New Roman"/>
              <w:b/>
              <w:highlight w:val="none"/>
            </w:rPr>
            <w:fldChar w:fldCharType="separate"/>
          </w:r>
          <w:r>
            <w:rPr>
              <w:rFonts w:ascii="Times New Roman" w:hAnsi="Times New Roman" w:cs="Times New Roman"/>
              <w:b/>
              <w:highlight w:val="none"/>
            </w:rPr>
            <w:t>93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"_Toc10971" </w:instrText>
          </w:r>
          <w:r>
            <w:rPr>
              <w:highlight w:val="none"/>
            </w:rPr>
            <w:fldChar w:fldCharType="separate"/>
          </w:r>
          <w:r>
            <w:rPr>
              <w:rFonts w:ascii="Times New Roman" w:hAnsi="Times New Roman" w:cs="Times New Roman"/>
              <w:b/>
              <w:szCs w:val="32"/>
              <w:highlight w:val="none"/>
            </w:rPr>
            <w:t>（二十五） 四平市双辽市生态环境准入清单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_Toc10971 \h </w:instrText>
          </w:r>
          <w:r>
            <w:rPr>
              <w:rFonts w:ascii="Times New Roman" w:hAnsi="Times New Roman" w:cs="Times New Roman"/>
              <w:b/>
              <w:highlight w:val="none"/>
            </w:rPr>
            <w:fldChar w:fldCharType="separate"/>
          </w:r>
          <w:r>
            <w:rPr>
              <w:rFonts w:ascii="Times New Roman" w:hAnsi="Times New Roman" w:cs="Times New Roman"/>
              <w:b/>
              <w:highlight w:val="none"/>
            </w:rPr>
            <w:t>98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"_Toc27535" </w:instrText>
          </w:r>
          <w:r>
            <w:rPr>
              <w:highlight w:val="none"/>
            </w:rPr>
            <w:fldChar w:fldCharType="separate"/>
          </w:r>
          <w:r>
            <w:rPr>
              <w:rFonts w:ascii="Times New Roman" w:hAnsi="Times New Roman" w:cs="Times New Roman"/>
              <w:b/>
              <w:szCs w:val="32"/>
              <w:highlight w:val="none"/>
            </w:rPr>
            <w:t>（二十六）辽源市龙山区生态环境准入清单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_Toc27535 \h </w:instrText>
          </w:r>
          <w:r>
            <w:rPr>
              <w:rFonts w:ascii="Times New Roman" w:hAnsi="Times New Roman" w:cs="Times New Roman"/>
              <w:b/>
              <w:highlight w:val="none"/>
            </w:rPr>
            <w:fldChar w:fldCharType="separate"/>
          </w:r>
          <w:r>
            <w:rPr>
              <w:rFonts w:ascii="Times New Roman" w:hAnsi="Times New Roman" w:cs="Times New Roman"/>
              <w:b/>
              <w:highlight w:val="none"/>
            </w:rPr>
            <w:t>102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"_Toc12073" </w:instrText>
          </w:r>
          <w:r>
            <w:rPr>
              <w:highlight w:val="none"/>
            </w:rPr>
            <w:fldChar w:fldCharType="separate"/>
          </w:r>
          <w:r>
            <w:rPr>
              <w:rFonts w:ascii="Times New Roman" w:hAnsi="Times New Roman" w:cs="Times New Roman"/>
              <w:b/>
              <w:szCs w:val="32"/>
              <w:highlight w:val="none"/>
            </w:rPr>
            <w:t>（二十七） 辽源市西安区生态环境准入清单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_Toc12073 \h </w:instrText>
          </w:r>
          <w:r>
            <w:rPr>
              <w:rFonts w:ascii="Times New Roman" w:hAnsi="Times New Roman" w:cs="Times New Roman"/>
              <w:b/>
              <w:highlight w:val="none"/>
            </w:rPr>
            <w:fldChar w:fldCharType="separate"/>
          </w:r>
          <w:r>
            <w:rPr>
              <w:rFonts w:ascii="Times New Roman" w:hAnsi="Times New Roman" w:cs="Times New Roman"/>
              <w:b/>
              <w:highlight w:val="none"/>
            </w:rPr>
            <w:t>104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"_Toc8363" </w:instrText>
          </w:r>
          <w:r>
            <w:rPr>
              <w:highlight w:val="none"/>
            </w:rPr>
            <w:fldChar w:fldCharType="separate"/>
          </w:r>
          <w:r>
            <w:rPr>
              <w:rFonts w:ascii="Times New Roman" w:hAnsi="Times New Roman" w:cs="Times New Roman"/>
              <w:b/>
              <w:szCs w:val="32"/>
              <w:highlight w:val="none"/>
            </w:rPr>
            <w:t>（二十八） 辽源市东丰县生态环境准入清单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_Toc8363 \h </w:instrText>
          </w:r>
          <w:r>
            <w:rPr>
              <w:rFonts w:ascii="Times New Roman" w:hAnsi="Times New Roman" w:cs="Times New Roman"/>
              <w:b/>
              <w:highlight w:val="none"/>
            </w:rPr>
            <w:fldChar w:fldCharType="separate"/>
          </w:r>
          <w:r>
            <w:rPr>
              <w:rFonts w:ascii="Times New Roman" w:hAnsi="Times New Roman" w:cs="Times New Roman"/>
              <w:b/>
              <w:highlight w:val="none"/>
            </w:rPr>
            <w:t>107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"_Toc28383" </w:instrText>
          </w:r>
          <w:r>
            <w:rPr>
              <w:highlight w:val="none"/>
            </w:rPr>
            <w:fldChar w:fldCharType="separate"/>
          </w:r>
          <w:r>
            <w:rPr>
              <w:rFonts w:ascii="Times New Roman" w:hAnsi="Times New Roman" w:cs="Times New Roman"/>
              <w:b/>
              <w:szCs w:val="32"/>
              <w:highlight w:val="none"/>
            </w:rPr>
            <w:t>（二十九） 辽源市东辽县生态环境准入清单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_Toc28383 \h </w:instrText>
          </w:r>
          <w:r>
            <w:rPr>
              <w:rFonts w:ascii="Times New Roman" w:hAnsi="Times New Roman" w:cs="Times New Roman"/>
              <w:b/>
              <w:highlight w:val="none"/>
            </w:rPr>
            <w:fldChar w:fldCharType="separate"/>
          </w:r>
          <w:r>
            <w:rPr>
              <w:rFonts w:ascii="Times New Roman" w:hAnsi="Times New Roman" w:cs="Times New Roman"/>
              <w:b/>
              <w:highlight w:val="none"/>
            </w:rPr>
            <w:t>111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"_Toc21768" </w:instrText>
          </w:r>
          <w:r>
            <w:rPr>
              <w:highlight w:val="none"/>
            </w:rPr>
            <w:fldChar w:fldCharType="separate"/>
          </w:r>
          <w:r>
            <w:rPr>
              <w:rFonts w:ascii="Times New Roman" w:hAnsi="Times New Roman" w:cs="Times New Roman"/>
              <w:b/>
              <w:szCs w:val="32"/>
              <w:highlight w:val="none"/>
            </w:rPr>
            <w:t>（三十）通化市东昌区生态环境准入清单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_Toc21768 \h </w:instrText>
          </w:r>
          <w:r>
            <w:rPr>
              <w:rFonts w:ascii="Times New Roman" w:hAnsi="Times New Roman" w:cs="Times New Roman"/>
              <w:b/>
              <w:highlight w:val="none"/>
            </w:rPr>
            <w:fldChar w:fldCharType="separate"/>
          </w:r>
          <w:r>
            <w:rPr>
              <w:rFonts w:ascii="Times New Roman" w:hAnsi="Times New Roman" w:cs="Times New Roman"/>
              <w:b/>
              <w:highlight w:val="none"/>
            </w:rPr>
            <w:t>116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"_Toc17777" </w:instrText>
          </w:r>
          <w:r>
            <w:rPr>
              <w:highlight w:val="none"/>
            </w:rPr>
            <w:fldChar w:fldCharType="separate"/>
          </w:r>
          <w:r>
            <w:rPr>
              <w:rFonts w:ascii="Times New Roman" w:hAnsi="Times New Roman" w:cs="Times New Roman"/>
              <w:b/>
              <w:szCs w:val="32"/>
              <w:highlight w:val="none"/>
            </w:rPr>
            <w:t>（三十一）通化市二道江区生态环境准入清单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_Toc17777 \h </w:instrText>
          </w:r>
          <w:r>
            <w:rPr>
              <w:rFonts w:ascii="Times New Roman" w:hAnsi="Times New Roman" w:cs="Times New Roman"/>
              <w:b/>
              <w:highlight w:val="none"/>
            </w:rPr>
            <w:fldChar w:fldCharType="separate"/>
          </w:r>
          <w:r>
            <w:rPr>
              <w:rFonts w:ascii="Times New Roman" w:hAnsi="Times New Roman" w:cs="Times New Roman"/>
              <w:b/>
              <w:highlight w:val="none"/>
            </w:rPr>
            <w:t>120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"_Toc3062" </w:instrText>
          </w:r>
          <w:r>
            <w:rPr>
              <w:highlight w:val="none"/>
            </w:rPr>
            <w:fldChar w:fldCharType="separate"/>
          </w:r>
          <w:r>
            <w:rPr>
              <w:rFonts w:ascii="Times New Roman" w:hAnsi="Times New Roman" w:cs="Times New Roman"/>
              <w:b/>
              <w:szCs w:val="32"/>
              <w:highlight w:val="none"/>
            </w:rPr>
            <w:t>（三十二）通化市通化县生态环境准入清单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_Toc3062 \h </w:instrText>
          </w:r>
          <w:r>
            <w:rPr>
              <w:rFonts w:ascii="Times New Roman" w:hAnsi="Times New Roman" w:cs="Times New Roman"/>
              <w:b/>
              <w:highlight w:val="none"/>
            </w:rPr>
            <w:fldChar w:fldCharType="separate"/>
          </w:r>
          <w:r>
            <w:rPr>
              <w:rFonts w:ascii="Times New Roman" w:hAnsi="Times New Roman" w:cs="Times New Roman"/>
              <w:b/>
              <w:highlight w:val="none"/>
            </w:rPr>
            <w:t>125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"_Toc12249" </w:instrText>
          </w:r>
          <w:r>
            <w:rPr>
              <w:highlight w:val="none"/>
            </w:rPr>
            <w:fldChar w:fldCharType="separate"/>
          </w:r>
          <w:r>
            <w:rPr>
              <w:rFonts w:ascii="Times New Roman" w:hAnsi="Times New Roman" w:cs="Times New Roman"/>
              <w:b/>
              <w:szCs w:val="32"/>
              <w:highlight w:val="none"/>
            </w:rPr>
            <w:t>（三十三）通化市辉南县生态环境准入清单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_Toc12249 \h </w:instrText>
          </w:r>
          <w:r>
            <w:rPr>
              <w:rFonts w:ascii="Times New Roman" w:hAnsi="Times New Roman" w:cs="Times New Roman"/>
              <w:b/>
              <w:highlight w:val="none"/>
            </w:rPr>
            <w:fldChar w:fldCharType="separate"/>
          </w:r>
          <w:r>
            <w:rPr>
              <w:rFonts w:ascii="Times New Roman" w:hAnsi="Times New Roman" w:cs="Times New Roman"/>
              <w:b/>
              <w:highlight w:val="none"/>
            </w:rPr>
            <w:t>131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"_Toc25038" </w:instrText>
          </w:r>
          <w:r>
            <w:rPr>
              <w:highlight w:val="none"/>
            </w:rPr>
            <w:fldChar w:fldCharType="separate"/>
          </w:r>
          <w:r>
            <w:rPr>
              <w:rFonts w:ascii="Times New Roman" w:hAnsi="Times New Roman" w:cs="Times New Roman"/>
              <w:b/>
              <w:szCs w:val="32"/>
              <w:highlight w:val="none"/>
            </w:rPr>
            <w:t>（三十四）通化市柳河县生态环境准入清单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_Toc25038 \h </w:instrText>
          </w:r>
          <w:r>
            <w:rPr>
              <w:rFonts w:ascii="Times New Roman" w:hAnsi="Times New Roman" w:cs="Times New Roman"/>
              <w:b/>
              <w:highlight w:val="none"/>
            </w:rPr>
            <w:fldChar w:fldCharType="separate"/>
          </w:r>
          <w:r>
            <w:rPr>
              <w:rFonts w:ascii="Times New Roman" w:hAnsi="Times New Roman" w:cs="Times New Roman"/>
              <w:b/>
              <w:highlight w:val="none"/>
            </w:rPr>
            <w:t>136</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"_Toc10049" </w:instrText>
          </w:r>
          <w:r>
            <w:rPr>
              <w:highlight w:val="none"/>
            </w:rPr>
            <w:fldChar w:fldCharType="separate"/>
          </w:r>
          <w:r>
            <w:rPr>
              <w:rFonts w:ascii="Times New Roman" w:hAnsi="Times New Roman" w:cs="Times New Roman"/>
              <w:b/>
              <w:szCs w:val="32"/>
              <w:highlight w:val="none"/>
            </w:rPr>
            <w:t>（三十五）通化市集安市生态环境准入清单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_Toc10049 \h </w:instrText>
          </w:r>
          <w:r>
            <w:rPr>
              <w:rFonts w:ascii="Times New Roman" w:hAnsi="Times New Roman" w:cs="Times New Roman"/>
              <w:b/>
              <w:highlight w:val="none"/>
            </w:rPr>
            <w:fldChar w:fldCharType="separate"/>
          </w:r>
          <w:r>
            <w:rPr>
              <w:rFonts w:ascii="Times New Roman" w:hAnsi="Times New Roman" w:cs="Times New Roman"/>
              <w:b/>
              <w:highlight w:val="none"/>
            </w:rPr>
            <w:t>141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"_Toc26722" </w:instrText>
          </w:r>
          <w:r>
            <w:rPr>
              <w:highlight w:val="none"/>
            </w:rPr>
            <w:fldChar w:fldCharType="separate"/>
          </w:r>
          <w:r>
            <w:rPr>
              <w:rFonts w:ascii="Times New Roman" w:hAnsi="Times New Roman" w:cs="Times New Roman"/>
              <w:b/>
              <w:szCs w:val="32"/>
              <w:highlight w:val="none"/>
            </w:rPr>
            <w:t>（三十六） 白山市浑江区生态环境准入清单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_Toc26722 \h </w:instrText>
          </w:r>
          <w:r>
            <w:rPr>
              <w:rFonts w:ascii="Times New Roman" w:hAnsi="Times New Roman" w:cs="Times New Roman"/>
              <w:b/>
              <w:highlight w:val="none"/>
            </w:rPr>
            <w:fldChar w:fldCharType="separate"/>
          </w:r>
          <w:r>
            <w:rPr>
              <w:rFonts w:ascii="Times New Roman" w:hAnsi="Times New Roman" w:cs="Times New Roman"/>
              <w:b/>
              <w:highlight w:val="none"/>
            </w:rPr>
            <w:t>145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"_Toc17986" </w:instrText>
          </w:r>
          <w:r>
            <w:rPr>
              <w:highlight w:val="none"/>
            </w:rPr>
            <w:fldChar w:fldCharType="separate"/>
          </w:r>
          <w:r>
            <w:rPr>
              <w:rFonts w:ascii="Times New Roman" w:hAnsi="Times New Roman" w:cs="Times New Roman"/>
              <w:b/>
              <w:szCs w:val="32"/>
              <w:highlight w:val="none"/>
            </w:rPr>
            <w:t>（三十七） 白山市江源区生态环境准入清单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_Toc17986 \h </w:instrText>
          </w:r>
          <w:r>
            <w:rPr>
              <w:rFonts w:ascii="Times New Roman" w:hAnsi="Times New Roman" w:cs="Times New Roman"/>
              <w:b/>
              <w:highlight w:val="none"/>
            </w:rPr>
            <w:fldChar w:fldCharType="separate"/>
          </w:r>
          <w:r>
            <w:rPr>
              <w:rFonts w:ascii="Times New Roman" w:hAnsi="Times New Roman" w:cs="Times New Roman"/>
              <w:b/>
              <w:highlight w:val="none"/>
            </w:rPr>
            <w:t>150</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"_Toc1994" </w:instrText>
          </w:r>
          <w:r>
            <w:rPr>
              <w:highlight w:val="none"/>
            </w:rPr>
            <w:fldChar w:fldCharType="separate"/>
          </w:r>
          <w:r>
            <w:rPr>
              <w:rFonts w:ascii="Times New Roman" w:hAnsi="Times New Roman" w:cs="Times New Roman"/>
              <w:b/>
              <w:szCs w:val="32"/>
              <w:highlight w:val="none"/>
            </w:rPr>
            <w:t>（三十八） 白山市抚松县生态环境准入清单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_Toc1994 \h </w:instrText>
          </w:r>
          <w:r>
            <w:rPr>
              <w:rFonts w:ascii="Times New Roman" w:hAnsi="Times New Roman" w:cs="Times New Roman"/>
              <w:b/>
              <w:highlight w:val="none"/>
            </w:rPr>
            <w:fldChar w:fldCharType="separate"/>
          </w:r>
          <w:r>
            <w:rPr>
              <w:rFonts w:ascii="Times New Roman" w:hAnsi="Times New Roman" w:cs="Times New Roman"/>
              <w:b/>
              <w:highlight w:val="none"/>
            </w:rPr>
            <w:t>155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"_Toc13548" </w:instrText>
          </w:r>
          <w:r>
            <w:rPr>
              <w:highlight w:val="none"/>
            </w:rPr>
            <w:fldChar w:fldCharType="separate"/>
          </w:r>
          <w:r>
            <w:rPr>
              <w:rFonts w:ascii="Times New Roman" w:hAnsi="Times New Roman" w:cs="Times New Roman"/>
              <w:b/>
              <w:szCs w:val="32"/>
              <w:highlight w:val="none"/>
            </w:rPr>
            <w:t>（三十九） 白山市靖宇县生态环境准入清单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_Toc13548 \h </w:instrText>
          </w:r>
          <w:r>
            <w:rPr>
              <w:rFonts w:ascii="Times New Roman" w:hAnsi="Times New Roman" w:cs="Times New Roman"/>
              <w:b/>
              <w:highlight w:val="none"/>
            </w:rPr>
            <w:fldChar w:fldCharType="separate"/>
          </w:r>
          <w:r>
            <w:rPr>
              <w:rFonts w:ascii="Times New Roman" w:hAnsi="Times New Roman" w:cs="Times New Roman"/>
              <w:b/>
              <w:highlight w:val="none"/>
            </w:rPr>
            <w:t>159</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"_Toc3780" </w:instrText>
          </w:r>
          <w:r>
            <w:rPr>
              <w:highlight w:val="none"/>
            </w:rPr>
            <w:fldChar w:fldCharType="separate"/>
          </w:r>
          <w:r>
            <w:rPr>
              <w:rFonts w:ascii="Times New Roman" w:hAnsi="Times New Roman" w:cs="Times New Roman"/>
              <w:b/>
              <w:szCs w:val="32"/>
              <w:highlight w:val="none"/>
            </w:rPr>
            <w:t>（四十）白山市长白朝鲜族自治县生态环境准入清单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_Toc3780 \h </w:instrText>
          </w:r>
          <w:r>
            <w:rPr>
              <w:rFonts w:ascii="Times New Roman" w:hAnsi="Times New Roman" w:cs="Times New Roman"/>
              <w:b/>
              <w:highlight w:val="none"/>
            </w:rPr>
            <w:fldChar w:fldCharType="separate"/>
          </w:r>
          <w:r>
            <w:rPr>
              <w:rFonts w:ascii="Times New Roman" w:hAnsi="Times New Roman" w:cs="Times New Roman"/>
              <w:b/>
              <w:highlight w:val="none"/>
            </w:rPr>
            <w:t>164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"_Toc31279" </w:instrText>
          </w:r>
          <w:r>
            <w:rPr>
              <w:highlight w:val="none"/>
            </w:rPr>
            <w:fldChar w:fldCharType="separate"/>
          </w:r>
          <w:r>
            <w:rPr>
              <w:rFonts w:ascii="Times New Roman" w:hAnsi="Times New Roman" w:cs="Times New Roman"/>
              <w:b/>
              <w:szCs w:val="32"/>
              <w:highlight w:val="none"/>
            </w:rPr>
            <w:t>（四十一） 白山市临江市生态环境准入清单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_Toc31279 \h </w:instrText>
          </w:r>
          <w:r>
            <w:rPr>
              <w:rFonts w:ascii="Times New Roman" w:hAnsi="Times New Roman" w:cs="Times New Roman"/>
              <w:b/>
              <w:highlight w:val="none"/>
            </w:rPr>
            <w:fldChar w:fldCharType="separate"/>
          </w:r>
          <w:r>
            <w:rPr>
              <w:rFonts w:ascii="Times New Roman" w:hAnsi="Times New Roman" w:cs="Times New Roman"/>
              <w:b/>
              <w:highlight w:val="none"/>
            </w:rPr>
            <w:t>168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"_Toc14090" </w:instrText>
          </w:r>
          <w:r>
            <w:rPr>
              <w:highlight w:val="none"/>
            </w:rPr>
            <w:fldChar w:fldCharType="separate"/>
          </w:r>
          <w:r>
            <w:rPr>
              <w:rFonts w:ascii="Times New Roman" w:hAnsi="Times New Roman" w:cs="Times New Roman"/>
              <w:b/>
              <w:szCs w:val="32"/>
              <w:highlight w:val="none"/>
            </w:rPr>
            <w:t>（四十二）松原市宁江区生态环境准入清单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_Toc14090 \h </w:instrText>
          </w:r>
          <w:r>
            <w:rPr>
              <w:rFonts w:ascii="Times New Roman" w:hAnsi="Times New Roman" w:cs="Times New Roman"/>
              <w:b/>
              <w:highlight w:val="none"/>
            </w:rPr>
            <w:fldChar w:fldCharType="separate"/>
          </w:r>
          <w:r>
            <w:rPr>
              <w:rFonts w:ascii="Times New Roman" w:hAnsi="Times New Roman" w:cs="Times New Roman"/>
              <w:b/>
              <w:highlight w:val="none"/>
            </w:rPr>
            <w:t>172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"_Toc1368" </w:instrText>
          </w:r>
          <w:r>
            <w:rPr>
              <w:highlight w:val="none"/>
            </w:rPr>
            <w:fldChar w:fldCharType="separate"/>
          </w:r>
          <w:r>
            <w:rPr>
              <w:rFonts w:ascii="Times New Roman" w:hAnsi="Times New Roman" w:cs="Times New Roman"/>
              <w:b/>
              <w:szCs w:val="32"/>
              <w:highlight w:val="none"/>
            </w:rPr>
            <w:t>（四十三） 松原市前郭尔罗斯蒙古族自治县生态环境准入清单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_Toc1368 \h </w:instrText>
          </w:r>
          <w:r>
            <w:rPr>
              <w:rFonts w:ascii="Times New Roman" w:hAnsi="Times New Roman" w:cs="Times New Roman"/>
              <w:b/>
              <w:highlight w:val="none"/>
            </w:rPr>
            <w:fldChar w:fldCharType="separate"/>
          </w:r>
          <w:r>
            <w:rPr>
              <w:rFonts w:ascii="Times New Roman" w:hAnsi="Times New Roman" w:cs="Times New Roman"/>
              <w:b/>
              <w:highlight w:val="none"/>
            </w:rPr>
            <w:t>177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"_Toc17726" </w:instrText>
          </w:r>
          <w:r>
            <w:rPr>
              <w:highlight w:val="none"/>
            </w:rPr>
            <w:fldChar w:fldCharType="separate"/>
          </w:r>
          <w:r>
            <w:rPr>
              <w:rFonts w:ascii="Times New Roman" w:hAnsi="Times New Roman" w:cs="Times New Roman"/>
              <w:b/>
              <w:szCs w:val="32"/>
              <w:highlight w:val="none"/>
            </w:rPr>
            <w:t>（四十四）松原市长岭县生态环境准入清单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_Toc17726 \h </w:instrText>
          </w:r>
          <w:r>
            <w:rPr>
              <w:rFonts w:ascii="Times New Roman" w:hAnsi="Times New Roman" w:cs="Times New Roman"/>
              <w:b/>
              <w:highlight w:val="none"/>
            </w:rPr>
            <w:fldChar w:fldCharType="separate"/>
          </w:r>
          <w:r>
            <w:rPr>
              <w:rFonts w:ascii="Times New Roman" w:hAnsi="Times New Roman" w:cs="Times New Roman"/>
              <w:b/>
              <w:highlight w:val="none"/>
            </w:rPr>
            <w:t>185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"_Toc6344" </w:instrText>
          </w:r>
          <w:r>
            <w:rPr>
              <w:highlight w:val="none"/>
            </w:rPr>
            <w:fldChar w:fldCharType="separate"/>
          </w:r>
          <w:r>
            <w:rPr>
              <w:rFonts w:ascii="Times New Roman" w:hAnsi="Times New Roman" w:cs="Times New Roman"/>
              <w:b/>
              <w:szCs w:val="32"/>
              <w:highlight w:val="none"/>
            </w:rPr>
            <w:t>（四十五）松原市乾安县生态环境准入清单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_Toc6344 \h </w:instrText>
          </w:r>
          <w:r>
            <w:rPr>
              <w:rFonts w:ascii="Times New Roman" w:hAnsi="Times New Roman" w:cs="Times New Roman"/>
              <w:b/>
              <w:highlight w:val="none"/>
            </w:rPr>
            <w:fldChar w:fldCharType="separate"/>
          </w:r>
          <w:r>
            <w:rPr>
              <w:rFonts w:ascii="Times New Roman" w:hAnsi="Times New Roman" w:cs="Times New Roman"/>
              <w:b/>
              <w:highlight w:val="none"/>
            </w:rPr>
            <w:t>189</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"_Toc26982" </w:instrText>
          </w:r>
          <w:r>
            <w:rPr>
              <w:highlight w:val="none"/>
            </w:rPr>
            <w:fldChar w:fldCharType="separate"/>
          </w:r>
          <w:r>
            <w:rPr>
              <w:rFonts w:ascii="Times New Roman" w:hAnsi="Times New Roman" w:cs="Times New Roman"/>
              <w:b/>
              <w:szCs w:val="32"/>
              <w:highlight w:val="none"/>
            </w:rPr>
            <w:t>（四十六）松原市扶余市生态环境准入清单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_Toc26982 \h </w:instrText>
          </w:r>
          <w:r>
            <w:rPr>
              <w:rFonts w:ascii="Times New Roman" w:hAnsi="Times New Roman" w:cs="Times New Roman"/>
              <w:b/>
              <w:highlight w:val="none"/>
            </w:rPr>
            <w:fldChar w:fldCharType="separate"/>
          </w:r>
          <w:r>
            <w:rPr>
              <w:rFonts w:ascii="Times New Roman" w:hAnsi="Times New Roman" w:cs="Times New Roman"/>
              <w:b/>
              <w:highlight w:val="none"/>
            </w:rPr>
            <w:t>195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"_Toc18189" </w:instrText>
          </w:r>
          <w:r>
            <w:rPr>
              <w:highlight w:val="none"/>
            </w:rPr>
            <w:fldChar w:fldCharType="separate"/>
          </w:r>
          <w:r>
            <w:rPr>
              <w:rFonts w:ascii="Times New Roman" w:hAnsi="Times New Roman" w:cs="Times New Roman"/>
              <w:b/>
              <w:szCs w:val="32"/>
              <w:highlight w:val="none"/>
            </w:rPr>
            <w:t>（四十七）白城市洮北区生态环境准入清单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_Toc18189 \h </w:instrText>
          </w:r>
          <w:r>
            <w:rPr>
              <w:rFonts w:ascii="Times New Roman" w:hAnsi="Times New Roman" w:cs="Times New Roman"/>
              <w:b/>
              <w:highlight w:val="none"/>
            </w:rPr>
            <w:fldChar w:fldCharType="separate"/>
          </w:r>
          <w:r>
            <w:rPr>
              <w:rFonts w:ascii="Times New Roman" w:hAnsi="Times New Roman" w:cs="Times New Roman"/>
              <w:b/>
              <w:highlight w:val="none"/>
            </w:rPr>
            <w:t>198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"_Toc27655" </w:instrText>
          </w:r>
          <w:r>
            <w:rPr>
              <w:highlight w:val="none"/>
            </w:rPr>
            <w:fldChar w:fldCharType="separate"/>
          </w:r>
          <w:r>
            <w:rPr>
              <w:rFonts w:ascii="Times New Roman" w:hAnsi="Times New Roman" w:cs="Times New Roman"/>
              <w:b/>
              <w:szCs w:val="32"/>
              <w:highlight w:val="none"/>
            </w:rPr>
            <w:t>（四十八）白城市镇赉县生态环境准入清单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_Toc27655 \h </w:instrText>
          </w:r>
          <w:r>
            <w:rPr>
              <w:rFonts w:ascii="Times New Roman" w:hAnsi="Times New Roman" w:cs="Times New Roman"/>
              <w:b/>
              <w:highlight w:val="none"/>
            </w:rPr>
            <w:fldChar w:fldCharType="separate"/>
          </w:r>
          <w:r>
            <w:rPr>
              <w:rFonts w:ascii="Times New Roman" w:hAnsi="Times New Roman" w:cs="Times New Roman"/>
              <w:b/>
              <w:highlight w:val="none"/>
            </w:rPr>
            <w:t>203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"_Toc32252" </w:instrText>
          </w:r>
          <w:r>
            <w:rPr>
              <w:highlight w:val="none"/>
            </w:rPr>
            <w:fldChar w:fldCharType="separate"/>
          </w:r>
          <w:r>
            <w:rPr>
              <w:rFonts w:ascii="Times New Roman" w:hAnsi="Times New Roman" w:cs="Times New Roman"/>
              <w:b/>
              <w:szCs w:val="32"/>
              <w:highlight w:val="none"/>
            </w:rPr>
            <w:t>（四十九） 白城市通榆县生态环境准入清单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_Toc32252 \h </w:instrText>
          </w:r>
          <w:r>
            <w:rPr>
              <w:rFonts w:ascii="Times New Roman" w:hAnsi="Times New Roman" w:cs="Times New Roman"/>
              <w:b/>
              <w:highlight w:val="none"/>
            </w:rPr>
            <w:fldChar w:fldCharType="separate"/>
          </w:r>
          <w:r>
            <w:rPr>
              <w:rFonts w:ascii="Times New Roman" w:hAnsi="Times New Roman" w:cs="Times New Roman"/>
              <w:b/>
              <w:highlight w:val="none"/>
            </w:rPr>
            <w:t>207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"_Toc21859" </w:instrText>
          </w:r>
          <w:r>
            <w:rPr>
              <w:highlight w:val="none"/>
            </w:rPr>
            <w:fldChar w:fldCharType="separate"/>
          </w:r>
          <w:r>
            <w:rPr>
              <w:rFonts w:ascii="Times New Roman" w:hAnsi="Times New Roman" w:cs="Times New Roman"/>
              <w:b/>
              <w:szCs w:val="32"/>
              <w:highlight w:val="none"/>
            </w:rPr>
            <w:t>（五十）白城市洮南市生态环境准入清单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_Toc21859 \h </w:instrText>
          </w:r>
          <w:r>
            <w:rPr>
              <w:rFonts w:ascii="Times New Roman" w:hAnsi="Times New Roman" w:cs="Times New Roman"/>
              <w:b/>
              <w:highlight w:val="none"/>
            </w:rPr>
            <w:fldChar w:fldCharType="separate"/>
          </w:r>
          <w:r>
            <w:rPr>
              <w:rFonts w:ascii="Times New Roman" w:hAnsi="Times New Roman" w:cs="Times New Roman"/>
              <w:b/>
              <w:highlight w:val="none"/>
            </w:rPr>
            <w:t>211</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"_Toc14219" </w:instrText>
          </w:r>
          <w:r>
            <w:rPr>
              <w:highlight w:val="none"/>
            </w:rPr>
            <w:fldChar w:fldCharType="separate"/>
          </w:r>
          <w:r>
            <w:rPr>
              <w:rFonts w:ascii="Times New Roman" w:hAnsi="Times New Roman" w:cs="Times New Roman"/>
              <w:b/>
              <w:szCs w:val="32"/>
              <w:highlight w:val="none"/>
            </w:rPr>
            <w:t>（五十一） 白城市大安市生态环境准入清单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_Toc14219 \h </w:instrText>
          </w:r>
          <w:r>
            <w:rPr>
              <w:rFonts w:ascii="Times New Roman" w:hAnsi="Times New Roman" w:cs="Times New Roman"/>
              <w:b/>
              <w:highlight w:val="none"/>
            </w:rPr>
            <w:fldChar w:fldCharType="separate"/>
          </w:r>
          <w:r>
            <w:rPr>
              <w:rFonts w:ascii="Times New Roman" w:hAnsi="Times New Roman" w:cs="Times New Roman"/>
              <w:b/>
              <w:highlight w:val="none"/>
            </w:rPr>
            <w:t>215</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"_Toc26474" </w:instrText>
          </w:r>
          <w:r>
            <w:rPr>
              <w:highlight w:val="none"/>
            </w:rPr>
            <w:fldChar w:fldCharType="separate"/>
          </w:r>
          <w:r>
            <w:rPr>
              <w:rFonts w:ascii="Times New Roman" w:hAnsi="Times New Roman" w:cs="Times New Roman"/>
              <w:b/>
              <w:szCs w:val="32"/>
              <w:highlight w:val="none"/>
            </w:rPr>
            <w:t>（五十二） 延边朝鲜族自治州延吉市生态环境准入清单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_Toc26474 \h </w:instrText>
          </w:r>
          <w:r>
            <w:rPr>
              <w:rFonts w:ascii="Times New Roman" w:hAnsi="Times New Roman" w:cs="Times New Roman"/>
              <w:b/>
              <w:highlight w:val="none"/>
            </w:rPr>
            <w:fldChar w:fldCharType="separate"/>
          </w:r>
          <w:r>
            <w:rPr>
              <w:rFonts w:ascii="Times New Roman" w:hAnsi="Times New Roman" w:cs="Times New Roman"/>
              <w:b/>
              <w:highlight w:val="none"/>
            </w:rPr>
            <w:t>219</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"_Toc26227" </w:instrText>
          </w:r>
          <w:r>
            <w:rPr>
              <w:highlight w:val="none"/>
            </w:rPr>
            <w:fldChar w:fldCharType="separate"/>
          </w:r>
          <w:r>
            <w:rPr>
              <w:rFonts w:ascii="Times New Roman" w:hAnsi="Times New Roman" w:cs="Times New Roman"/>
              <w:b/>
              <w:szCs w:val="32"/>
              <w:highlight w:val="none"/>
            </w:rPr>
            <w:t>（五十三） 延边朝鲜族自治州图们市生态环境准入清单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_Toc26227 \h </w:instrText>
          </w:r>
          <w:r>
            <w:rPr>
              <w:rFonts w:ascii="Times New Roman" w:hAnsi="Times New Roman" w:cs="Times New Roman"/>
              <w:b/>
              <w:highlight w:val="none"/>
            </w:rPr>
            <w:fldChar w:fldCharType="separate"/>
          </w:r>
          <w:r>
            <w:rPr>
              <w:rFonts w:ascii="Times New Roman" w:hAnsi="Times New Roman" w:cs="Times New Roman"/>
              <w:b/>
              <w:highlight w:val="none"/>
            </w:rPr>
            <w:t>223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"_Toc18519" </w:instrText>
          </w:r>
          <w:r>
            <w:rPr>
              <w:highlight w:val="none"/>
            </w:rPr>
            <w:fldChar w:fldCharType="separate"/>
          </w:r>
          <w:r>
            <w:rPr>
              <w:rFonts w:ascii="Times New Roman" w:hAnsi="Times New Roman" w:cs="Times New Roman"/>
              <w:b/>
              <w:szCs w:val="32"/>
              <w:highlight w:val="none"/>
            </w:rPr>
            <w:t>（五十四） 延边朝鲜族自治州敦化市生态环境准入清单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_Toc18519 \h </w:instrText>
          </w:r>
          <w:r>
            <w:rPr>
              <w:rFonts w:ascii="Times New Roman" w:hAnsi="Times New Roman" w:cs="Times New Roman"/>
              <w:b/>
              <w:highlight w:val="none"/>
            </w:rPr>
            <w:fldChar w:fldCharType="separate"/>
          </w:r>
          <w:r>
            <w:rPr>
              <w:rFonts w:ascii="Times New Roman" w:hAnsi="Times New Roman" w:cs="Times New Roman"/>
              <w:b/>
              <w:highlight w:val="none"/>
            </w:rPr>
            <w:t>228</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"_Toc9441" </w:instrText>
          </w:r>
          <w:r>
            <w:rPr>
              <w:highlight w:val="none"/>
            </w:rPr>
            <w:fldChar w:fldCharType="separate"/>
          </w:r>
          <w:r>
            <w:rPr>
              <w:rFonts w:ascii="Times New Roman" w:hAnsi="Times New Roman" w:cs="Times New Roman"/>
              <w:b/>
              <w:szCs w:val="32"/>
              <w:highlight w:val="none"/>
            </w:rPr>
            <w:t>（五十五） 延边朝鲜族自治州珲春市生态环境准入清单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_Toc9441 \h </w:instrText>
          </w:r>
          <w:r>
            <w:rPr>
              <w:rFonts w:ascii="Times New Roman" w:hAnsi="Times New Roman" w:cs="Times New Roman"/>
              <w:b/>
              <w:highlight w:val="none"/>
            </w:rPr>
            <w:fldChar w:fldCharType="separate"/>
          </w:r>
          <w:r>
            <w:rPr>
              <w:rFonts w:ascii="Times New Roman" w:hAnsi="Times New Roman" w:cs="Times New Roman"/>
              <w:b/>
              <w:highlight w:val="none"/>
            </w:rPr>
            <w:t>234</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"_Toc27410" </w:instrText>
          </w:r>
          <w:r>
            <w:rPr>
              <w:highlight w:val="none"/>
            </w:rPr>
            <w:fldChar w:fldCharType="separate"/>
          </w:r>
          <w:r>
            <w:rPr>
              <w:rFonts w:ascii="Times New Roman" w:hAnsi="Times New Roman" w:cs="Times New Roman"/>
              <w:b/>
              <w:szCs w:val="32"/>
              <w:highlight w:val="none"/>
            </w:rPr>
            <w:t>（五十六） 延边朝鲜族自治州龙井市生态环境准入清单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_Toc27410 \h </w:instrText>
          </w:r>
          <w:r>
            <w:rPr>
              <w:rFonts w:ascii="Times New Roman" w:hAnsi="Times New Roman" w:cs="Times New Roman"/>
              <w:b/>
              <w:highlight w:val="none"/>
            </w:rPr>
            <w:fldChar w:fldCharType="separate"/>
          </w:r>
          <w:r>
            <w:rPr>
              <w:rFonts w:ascii="Times New Roman" w:hAnsi="Times New Roman" w:cs="Times New Roman"/>
              <w:b/>
              <w:highlight w:val="none"/>
            </w:rPr>
            <w:t>239</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"_Toc7620" </w:instrText>
          </w:r>
          <w:r>
            <w:rPr>
              <w:highlight w:val="none"/>
            </w:rPr>
            <w:fldChar w:fldCharType="separate"/>
          </w:r>
          <w:r>
            <w:rPr>
              <w:rFonts w:ascii="Times New Roman" w:hAnsi="Times New Roman" w:cs="Times New Roman"/>
              <w:b/>
              <w:szCs w:val="32"/>
              <w:highlight w:val="none"/>
            </w:rPr>
            <w:t>（五十七） 延边朝鲜族自治州和龙市生态环境准入清单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_Toc7620 \h </w:instrText>
          </w:r>
          <w:r>
            <w:rPr>
              <w:rFonts w:ascii="Times New Roman" w:hAnsi="Times New Roman" w:cs="Times New Roman"/>
              <w:b/>
              <w:highlight w:val="none"/>
            </w:rPr>
            <w:fldChar w:fldCharType="separate"/>
          </w:r>
          <w:r>
            <w:rPr>
              <w:rFonts w:ascii="Times New Roman" w:hAnsi="Times New Roman" w:cs="Times New Roman"/>
              <w:b/>
              <w:highlight w:val="none"/>
            </w:rPr>
            <w:t>243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"_Toc27598" </w:instrText>
          </w:r>
          <w:r>
            <w:rPr>
              <w:highlight w:val="none"/>
            </w:rPr>
            <w:fldChar w:fldCharType="separate"/>
          </w:r>
          <w:r>
            <w:rPr>
              <w:rFonts w:ascii="Times New Roman" w:hAnsi="Times New Roman" w:cs="Times New Roman"/>
              <w:b/>
              <w:szCs w:val="32"/>
              <w:highlight w:val="none"/>
            </w:rPr>
            <w:t>（五十八） 延边朝鲜族自治州汪清县生态环境准入清单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_Toc27598 \h </w:instrText>
          </w:r>
          <w:r>
            <w:rPr>
              <w:rFonts w:ascii="Times New Roman" w:hAnsi="Times New Roman" w:cs="Times New Roman"/>
              <w:b/>
              <w:highlight w:val="none"/>
            </w:rPr>
            <w:fldChar w:fldCharType="separate"/>
          </w:r>
          <w:r>
            <w:rPr>
              <w:rFonts w:ascii="Times New Roman" w:hAnsi="Times New Roman" w:cs="Times New Roman"/>
              <w:b/>
              <w:highlight w:val="none"/>
            </w:rPr>
            <w:t>249</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"_Toc11643" </w:instrText>
          </w:r>
          <w:r>
            <w:rPr>
              <w:highlight w:val="none"/>
            </w:rPr>
            <w:fldChar w:fldCharType="separate"/>
          </w:r>
          <w:r>
            <w:rPr>
              <w:rFonts w:ascii="Times New Roman" w:hAnsi="Times New Roman" w:cs="Times New Roman"/>
              <w:b/>
              <w:szCs w:val="32"/>
              <w:highlight w:val="none"/>
            </w:rPr>
            <w:t>（五十九） 延边朝鲜族自治州安图县生态环境准入清单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_Toc11643 \h </w:instrText>
          </w:r>
          <w:r>
            <w:rPr>
              <w:rFonts w:ascii="Times New Roman" w:hAnsi="Times New Roman" w:cs="Times New Roman"/>
              <w:b/>
              <w:highlight w:val="none"/>
            </w:rPr>
            <w:fldChar w:fldCharType="separate"/>
          </w:r>
          <w:r>
            <w:rPr>
              <w:rFonts w:ascii="Times New Roman" w:hAnsi="Times New Roman" w:cs="Times New Roman"/>
              <w:b/>
              <w:highlight w:val="none"/>
            </w:rPr>
            <w:t>253</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"_Toc2692" </w:instrText>
          </w:r>
          <w:r>
            <w:rPr>
              <w:highlight w:val="none"/>
            </w:rPr>
            <w:fldChar w:fldCharType="separate"/>
          </w:r>
          <w:r>
            <w:rPr>
              <w:rFonts w:ascii="Times New Roman" w:hAnsi="Times New Roman" w:cs="Times New Roman"/>
              <w:b/>
              <w:szCs w:val="32"/>
              <w:highlight w:val="none"/>
            </w:rPr>
            <w:t>（六十）长白山保护开发区生态环境准入清单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_Toc2692 \h </w:instrText>
          </w:r>
          <w:r>
            <w:rPr>
              <w:rFonts w:ascii="Times New Roman" w:hAnsi="Times New Roman" w:cs="Times New Roman"/>
              <w:b/>
              <w:highlight w:val="none"/>
            </w:rPr>
            <w:fldChar w:fldCharType="separate"/>
          </w:r>
          <w:r>
            <w:rPr>
              <w:rFonts w:ascii="Times New Roman" w:hAnsi="Times New Roman" w:cs="Times New Roman"/>
              <w:b/>
              <w:highlight w:val="none"/>
            </w:rPr>
            <w:t>257</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pStyle w:val="16"/>
            <w:tabs>
              <w:tab w:val="right" w:leader="dot" w:pos="10253"/>
            </w:tabs>
            <w:rPr>
              <w:rFonts w:ascii="Times New Roman" w:hAnsi="Times New Roman" w:cs="Times New Roman"/>
              <w:b/>
              <w:highlight w:val="none"/>
            </w:rPr>
          </w:pPr>
          <w:r>
            <w:rPr>
              <w:highlight w:val="none"/>
            </w:rPr>
            <w:fldChar w:fldCharType="begin"/>
          </w:r>
          <w:r>
            <w:rPr>
              <w:highlight w:val="none"/>
            </w:rPr>
            <w:instrText xml:space="preserve"> HYPERLINK \l "_Toc23785" </w:instrText>
          </w:r>
          <w:r>
            <w:rPr>
              <w:highlight w:val="none"/>
            </w:rPr>
            <w:fldChar w:fldCharType="separate"/>
          </w:r>
          <w:r>
            <w:rPr>
              <w:rFonts w:ascii="Times New Roman" w:hAnsi="Times New Roman" w:cs="Times New Roman"/>
              <w:b/>
              <w:szCs w:val="32"/>
              <w:highlight w:val="none"/>
            </w:rPr>
            <w:t>（六十一） 梅河口市生态环境准入清单</w:t>
          </w:r>
          <w:r>
            <w:rPr>
              <w:rFonts w:ascii="Times New Roman" w:hAnsi="Times New Roman" w:cs="Times New Roman"/>
              <w:b/>
              <w:highlight w:val="none"/>
            </w:rPr>
            <w:tab/>
          </w:r>
          <w:r>
            <w:rPr>
              <w:rFonts w:ascii="Times New Roman" w:hAnsi="Times New Roman" w:cs="Times New Roman"/>
              <w:b/>
              <w:highlight w:val="none"/>
            </w:rPr>
            <w:fldChar w:fldCharType="begin"/>
          </w:r>
          <w:r>
            <w:rPr>
              <w:rFonts w:ascii="Times New Roman" w:hAnsi="Times New Roman" w:cs="Times New Roman"/>
              <w:b/>
              <w:highlight w:val="none"/>
            </w:rPr>
            <w:instrText xml:space="preserve"> PAGEREF _Toc23785 \h </w:instrText>
          </w:r>
          <w:r>
            <w:rPr>
              <w:rFonts w:ascii="Times New Roman" w:hAnsi="Times New Roman" w:cs="Times New Roman"/>
              <w:b/>
              <w:highlight w:val="none"/>
            </w:rPr>
            <w:fldChar w:fldCharType="separate"/>
          </w:r>
          <w:r>
            <w:rPr>
              <w:rFonts w:ascii="Times New Roman" w:hAnsi="Times New Roman" w:cs="Times New Roman"/>
              <w:b/>
              <w:highlight w:val="none"/>
            </w:rPr>
            <w:t>262</w:t>
          </w:r>
          <w:r>
            <w:rPr>
              <w:rFonts w:ascii="Times New Roman" w:hAnsi="Times New Roman" w:cs="Times New Roman"/>
              <w:b/>
              <w:highlight w:val="none"/>
            </w:rPr>
            <w:fldChar w:fldCharType="end"/>
          </w:r>
          <w:r>
            <w:rPr>
              <w:rFonts w:ascii="Times New Roman" w:hAnsi="Times New Roman" w:cs="Times New Roman"/>
              <w:b/>
              <w:highlight w:val="none"/>
            </w:rPr>
            <w:fldChar w:fldCharType="end"/>
          </w:r>
        </w:p>
        <w:p>
          <w:pPr>
            <w:rPr>
              <w:rFonts w:ascii="Times New Roman" w:hAnsi="Times New Roman" w:eastAsia="仿宋" w:cs="Times New Roman"/>
              <w:color w:val="FF0000"/>
              <w:highlight w:val="none"/>
            </w:rPr>
          </w:pPr>
          <w:r>
            <w:rPr>
              <w:rFonts w:ascii="Times New Roman" w:hAnsi="Times New Roman" w:eastAsia="仿宋" w:cs="Times New Roman"/>
              <w:b/>
              <w:kern w:val="0"/>
              <w:highlight w:val="none"/>
              <w:lang w:val="zh-CN"/>
            </w:rPr>
            <w:fldChar w:fldCharType="end"/>
          </w:r>
        </w:p>
      </w:sdtContent>
    </w:sdt>
    <w:p>
      <w:pPr>
        <w:rPr>
          <w:rFonts w:ascii="Times New Roman" w:hAnsi="Times New Roman" w:eastAsia="仿宋" w:cs="Times New Roman"/>
          <w:color w:val="FF0000"/>
          <w:highlight w:val="none"/>
        </w:rPr>
      </w:pPr>
    </w:p>
    <w:p>
      <w:pPr>
        <w:pStyle w:val="2"/>
        <w:spacing w:before="0" w:after="0" w:line="240" w:lineRule="auto"/>
        <w:rPr>
          <w:rFonts w:ascii="Times New Roman" w:hAnsi="Times New Roman" w:eastAsia="仿宋" w:cs="Times New Roman"/>
          <w:color w:val="FF0000"/>
          <w:sz w:val="32"/>
          <w:szCs w:val="32"/>
          <w:highlight w:val="none"/>
        </w:rPr>
        <w:sectPr>
          <w:footerReference r:id="rId8" w:type="default"/>
          <w:pgSz w:w="23811" w:h="16838" w:orient="landscape"/>
          <w:pgMar w:top="1797" w:right="1440" w:bottom="1797" w:left="1440" w:header="851" w:footer="992" w:gutter="0"/>
          <w:pgNumType w:start="1"/>
          <w:cols w:space="425" w:num="2"/>
          <w:docGrid w:type="linesAndChars" w:linePitch="312" w:charSpace="0"/>
        </w:sectPr>
      </w:pPr>
    </w:p>
    <w:p>
      <w:pPr>
        <w:pStyle w:val="2"/>
        <w:spacing w:before="0" w:after="0" w:line="240" w:lineRule="auto"/>
        <w:rPr>
          <w:rFonts w:ascii="Times New Roman" w:hAnsi="Times New Roman" w:eastAsia="仿宋" w:cs="Times New Roman"/>
          <w:sz w:val="32"/>
          <w:szCs w:val="32"/>
          <w:highlight w:val="none"/>
        </w:rPr>
      </w:pPr>
      <w:bookmarkStart w:id="0" w:name="_Toc19848"/>
      <w:r>
        <w:rPr>
          <w:rFonts w:ascii="Times New Roman" w:hAnsi="Times New Roman" w:eastAsia="仿宋" w:cs="Times New Roman"/>
          <w:sz w:val="32"/>
          <w:szCs w:val="32"/>
          <w:highlight w:val="none"/>
        </w:rPr>
        <w:t>一、全省总体准入要求</w:t>
      </w:r>
      <w:bookmarkEnd w:id="0"/>
    </w:p>
    <w:p>
      <w:pPr>
        <w:jc w:val="center"/>
        <w:rPr>
          <w:rFonts w:ascii="Times New Roman" w:hAnsi="Times New Roman" w:eastAsia="仿宋" w:cs="Times New Roman"/>
          <w:b/>
          <w:highlight w:val="none"/>
        </w:rPr>
      </w:pPr>
      <w:r>
        <w:rPr>
          <w:rFonts w:ascii="Times New Roman" w:hAnsi="Times New Roman" w:eastAsia="仿宋" w:cs="Times New Roman"/>
          <w:b/>
          <w:highlight w:val="none"/>
        </w:rPr>
        <w:t>表1-1 全省总体准入要求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18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05" w:type="pct"/>
            <w:vAlign w:val="center"/>
          </w:tcPr>
          <w:p>
            <w:pPr>
              <w:pStyle w:val="194"/>
              <w:jc w:val="center"/>
              <w:rPr>
                <w:rFonts w:ascii="Times New Roman"/>
                <w:b/>
                <w:color w:val="auto"/>
                <w:spacing w:val="-5"/>
                <w:highlight w:val="none"/>
              </w:rPr>
            </w:pPr>
            <w:r>
              <w:rPr>
                <w:rFonts w:ascii="Times New Roman"/>
                <w:b/>
                <w:color w:val="auto"/>
                <w:spacing w:val="-5"/>
                <w:highlight w:val="none"/>
              </w:rPr>
              <w:t>管控领域</w:t>
            </w:r>
          </w:p>
        </w:tc>
        <w:tc>
          <w:tcPr>
            <w:tcW w:w="4394" w:type="pct"/>
            <w:vAlign w:val="center"/>
          </w:tcPr>
          <w:p>
            <w:pPr>
              <w:pStyle w:val="194"/>
              <w:jc w:val="center"/>
              <w:rPr>
                <w:rFonts w:ascii="Times New Roman"/>
                <w:b/>
                <w:color w:val="auto"/>
                <w:spacing w:val="-5"/>
                <w:highlight w:val="none"/>
              </w:rPr>
            </w:pPr>
            <w:r>
              <w:rPr>
                <w:rFonts w:ascii="Times New Roman"/>
                <w:b/>
                <w:color w:val="auto"/>
                <w:spacing w:val="-5"/>
                <w:highlight w:val="none"/>
              </w:rPr>
              <w:t>环境准入及管控要求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000" w:type="pct"/>
            <w:gridSpan w:val="2"/>
            <w:vAlign w:val="center"/>
          </w:tcPr>
          <w:p>
            <w:pPr>
              <w:pStyle w:val="194"/>
              <w:jc w:val="center"/>
              <w:rPr>
                <w:rFonts w:ascii="Times New Roman"/>
                <w:b/>
                <w:color w:val="auto"/>
                <w:spacing w:val="-5"/>
                <w:highlight w:val="none"/>
              </w:rPr>
            </w:pPr>
            <w:bookmarkStart w:id="1" w:name="_Toc41139284"/>
            <w:r>
              <w:rPr>
                <w:rFonts w:ascii="Times New Roman"/>
                <w:b/>
                <w:color w:val="auto"/>
                <w:highlight w:val="none"/>
              </w:rPr>
              <w:t>一、全省总体准入要求</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05" w:type="pct"/>
            <w:vMerge w:val="restart"/>
            <w:vAlign w:val="center"/>
          </w:tcPr>
          <w:p>
            <w:pPr>
              <w:pStyle w:val="194"/>
              <w:jc w:val="center"/>
              <w:rPr>
                <w:rFonts w:ascii="Times New Roman"/>
                <w:b/>
                <w:color w:val="auto"/>
                <w:highlight w:val="none"/>
              </w:rPr>
            </w:pPr>
            <w:r>
              <w:rPr>
                <w:rFonts w:ascii="Times New Roman"/>
                <w:b/>
                <w:color w:val="auto"/>
                <w:highlight w:val="none"/>
              </w:rPr>
              <w:t>空间布局约束</w:t>
            </w:r>
          </w:p>
        </w:tc>
        <w:tc>
          <w:tcPr>
            <w:tcW w:w="4394" w:type="pct"/>
            <w:vAlign w:val="center"/>
          </w:tcPr>
          <w:p>
            <w:pPr>
              <w:pStyle w:val="194"/>
              <w:adjustRightInd w:val="0"/>
              <w:snapToGrid w:val="0"/>
              <w:rPr>
                <w:rFonts w:ascii="Times New Roman"/>
                <w:color w:val="auto"/>
                <w:highlight w:val="none"/>
              </w:rPr>
            </w:pPr>
            <w:r>
              <w:rPr>
                <w:rFonts w:ascii="Times New Roman"/>
                <w:color w:val="auto"/>
                <w:highlight w:val="none"/>
              </w:rPr>
              <w:t>禁止新建、扩建《产业结构调整指导日录》（现行）明确的淘汰类项目和引入《市场准入负面清单》</w:t>
            </w:r>
            <w:r>
              <w:rPr>
                <w:rFonts w:hint="eastAsia" w:ascii="Times New Roman"/>
                <w:color w:val="auto"/>
                <w:highlight w:val="none"/>
              </w:rPr>
              <w:t>（</w:t>
            </w:r>
            <w:r>
              <w:rPr>
                <w:rFonts w:ascii="Times New Roman"/>
                <w:color w:val="auto"/>
                <w:highlight w:val="none"/>
              </w:rPr>
              <w:t>现行</w:t>
            </w:r>
            <w:r>
              <w:rPr>
                <w:rFonts w:hint="eastAsia" w:ascii="Times New Roman"/>
                <w:color w:val="auto"/>
                <w:highlight w:val="none"/>
              </w:rPr>
              <w:t>）</w:t>
            </w:r>
            <w:r>
              <w:rPr>
                <w:rFonts w:ascii="Times New Roman"/>
                <w:color w:val="auto"/>
                <w:highlight w:val="none"/>
              </w:rPr>
              <w:t>禁止准入类事项，引入项目应符合园区规划、规划环境影响评价和区域产业准入负面清单要求。</w:t>
            </w:r>
          </w:p>
          <w:p>
            <w:pPr>
              <w:pStyle w:val="194"/>
              <w:adjustRightInd w:val="0"/>
              <w:snapToGrid w:val="0"/>
              <w:rPr>
                <w:rFonts w:ascii="Times New Roman"/>
                <w:color w:val="auto"/>
                <w:highlight w:val="none"/>
              </w:rPr>
            </w:pPr>
            <w:r>
              <w:rPr>
                <w:rFonts w:ascii="Times New Roman"/>
                <w:color w:val="auto"/>
                <w:highlight w:val="none"/>
              </w:rPr>
              <w:t>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adjustRightInd w:val="0"/>
              <w:snapToGrid w:val="0"/>
              <w:contextualSpacing/>
              <w:rPr>
                <w:rFonts w:ascii="Times New Roman"/>
                <w:color w:val="auto"/>
                <w:highlight w:val="none"/>
              </w:rPr>
            </w:pPr>
            <w:r>
              <w:rPr>
                <w:rFonts w:ascii="Times New Roman"/>
                <w:color w:val="auto"/>
                <w:highlight w:val="none"/>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p>
          <w:p>
            <w:pPr>
              <w:pStyle w:val="194"/>
              <w:adjustRightInd w:val="0"/>
              <w:snapToGrid w:val="0"/>
              <w:contextualSpacing/>
              <w:rPr>
                <w:rFonts w:ascii="Times New Roman"/>
                <w:color w:val="auto"/>
                <w:highlight w:val="none"/>
              </w:rPr>
            </w:pPr>
            <w:r>
              <w:rPr>
                <w:rFonts w:ascii="Times New Roman"/>
                <w:color w:val="auto"/>
                <w:highlight w:val="none"/>
              </w:rPr>
              <w:t>严格控制钢铁、焦化、电解铝、水泥和平板玻璃等行业新增产能，列</w:t>
            </w:r>
            <w:r>
              <w:rPr>
                <w:rFonts w:hint="eastAsia" w:ascii="Times New Roman"/>
                <w:color w:val="auto"/>
                <w:highlight w:val="none"/>
              </w:rPr>
              <w:t>入</w:t>
            </w:r>
            <w:r>
              <w:rPr>
                <w:rFonts w:ascii="Times New Roman"/>
                <w:color w:val="auto"/>
                <w:highlight w:val="none"/>
              </w:rPr>
              <w:t>去产能的钢铁企业退出时须一并退出配套的烧结、球团、焦炉、高炉等设备。严格控制尿素、磷铵、电石、烧碱、聚氯乙烯、纯碱、黄磷等过剩行业新增产能，符合政策要求的先进工艺改造提升项目应实行等量或减量置换。</w:t>
            </w:r>
          </w:p>
          <w:p>
            <w:pPr>
              <w:pStyle w:val="194"/>
              <w:adjustRightInd w:val="0"/>
              <w:snapToGrid w:val="0"/>
              <w:contextualSpacing/>
              <w:rPr>
                <w:rFonts w:ascii="Times New Roman"/>
                <w:color w:val="auto"/>
                <w:highlight w:val="none"/>
              </w:rPr>
            </w:pPr>
            <w:r>
              <w:rPr>
                <w:rFonts w:ascii="Times New Roman"/>
                <w:color w:val="auto"/>
                <w:highlight w:val="none"/>
              </w:rPr>
              <w:t>严控新建燃煤锅炉，县级以上城市建成区原则上不再新建每小时35蒸吨以下燃煤锅炉。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adjustRightInd w:val="0"/>
              <w:snapToGrid w:val="0"/>
              <w:contextualSpacing/>
              <w:rPr>
                <w:rFonts w:ascii="Times New Roman"/>
                <w:color w:val="auto"/>
                <w:highlight w:val="none"/>
              </w:rPr>
            </w:pPr>
            <w:r>
              <w:rPr>
                <w:rFonts w:ascii="Times New Roman"/>
                <w:color w:val="auto"/>
                <w:highlight w:val="none"/>
              </w:rPr>
              <w:t>重大项目原则上应布局在优化开发区和重点开发区，并符合国土空间总体规划。</w:t>
            </w:r>
          </w:p>
          <w:p>
            <w:pPr>
              <w:pStyle w:val="194"/>
              <w:adjustRightInd w:val="0"/>
              <w:snapToGrid w:val="0"/>
              <w:contextualSpacing/>
              <w:rPr>
                <w:rFonts w:ascii="Times New Roman"/>
                <w:color w:val="auto"/>
                <w:highlight w:val="none"/>
              </w:rPr>
            </w:pPr>
            <w:r>
              <w:rPr>
                <w:rFonts w:ascii="Times New Roman"/>
                <w:color w:val="auto"/>
                <w:highlight w:val="none"/>
              </w:rPr>
              <w:t>化工石化、有色冶炼、制浆造纸等可能引发环境风险的项目，以及涉及石化、化工、工业涂装等重点行业高VOCs 排放的建设项目，在符合国家产业政策和清洁生产水平要求、满足污染物排放标准以及污染物排放总量控制指标前提下，应当在依法设立、基础设施齐全并具备有效规划、规划环境影响评价的产业园区内布设。</w:t>
            </w:r>
          </w:p>
          <w:p>
            <w:pPr>
              <w:pStyle w:val="194"/>
              <w:adjustRightInd w:val="0"/>
              <w:snapToGrid w:val="0"/>
              <w:contextualSpacing/>
              <w:rPr>
                <w:rFonts w:ascii="Times New Roman"/>
                <w:color w:val="auto"/>
                <w:highlight w:val="none"/>
              </w:rPr>
            </w:pPr>
            <w:r>
              <w:rPr>
                <w:rFonts w:hint="eastAsia" w:ascii="Times New Roman"/>
                <w:color w:val="auto"/>
                <w:highlight w:val="none"/>
              </w:rPr>
              <w:t>严格落实规划环评及其批复文件环境准入条件</w:t>
            </w:r>
            <w:r>
              <w:rPr>
                <w:rFonts w:ascii="Times New Roman"/>
                <w:color w:val="auto"/>
                <w:highlight w:val="none"/>
              </w:rPr>
              <w:t>，空气质量未达标地区制定更严格的产业准入门槛。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adjustRightInd w:val="0"/>
              <w:snapToGrid w:val="0"/>
              <w:contextualSpacing/>
              <w:rPr>
                <w:rFonts w:ascii="Times New Roman"/>
                <w:color w:val="auto"/>
                <w:highlight w:val="none"/>
              </w:rPr>
            </w:pPr>
            <w:r>
              <w:rPr>
                <w:rFonts w:ascii="Times New Roman"/>
                <w:color w:val="auto"/>
                <w:highlight w:val="none"/>
              </w:rPr>
              <w:t>进一步优化全省化工产业布局，提高化工行业本质安全和绿色发展水平，引领化工园区从规范化发展到高质量发展、促进化工产业转型升级</w:t>
            </w:r>
            <w:r>
              <w:rPr>
                <w:rFonts w:hint="eastAsia" w:ascii="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05" w:type="pct"/>
            <w:vMerge w:val="restart"/>
            <w:vAlign w:val="center"/>
          </w:tcPr>
          <w:p>
            <w:pPr>
              <w:pStyle w:val="194"/>
              <w:jc w:val="center"/>
              <w:rPr>
                <w:rFonts w:ascii="Times New Roman"/>
                <w:b/>
                <w:color w:val="auto"/>
                <w:highlight w:val="none"/>
              </w:rPr>
            </w:pPr>
            <w:r>
              <w:rPr>
                <w:rFonts w:ascii="Times New Roman"/>
                <w:b/>
                <w:color w:val="auto"/>
                <w:highlight w:val="none"/>
              </w:rPr>
              <w:t>污染物</w:t>
            </w:r>
          </w:p>
          <w:p>
            <w:pPr>
              <w:pStyle w:val="194"/>
              <w:jc w:val="center"/>
              <w:rPr>
                <w:rFonts w:ascii="Times New Roman"/>
                <w:b/>
                <w:color w:val="auto"/>
                <w:highlight w:val="none"/>
              </w:rPr>
            </w:pPr>
            <w:r>
              <w:rPr>
                <w:rFonts w:ascii="Times New Roman"/>
                <w:b/>
                <w:color w:val="auto"/>
                <w:highlight w:val="none"/>
              </w:rPr>
              <w:t>排放管控</w:t>
            </w:r>
          </w:p>
        </w:tc>
        <w:tc>
          <w:tcPr>
            <w:tcW w:w="4394" w:type="pct"/>
            <w:vAlign w:val="center"/>
          </w:tcPr>
          <w:p>
            <w:pPr>
              <w:pStyle w:val="194"/>
              <w:rPr>
                <w:rFonts w:ascii="Times New Roman"/>
                <w:color w:val="auto"/>
                <w:highlight w:val="none"/>
              </w:rPr>
            </w:pPr>
            <w:r>
              <w:rPr>
                <w:rFonts w:ascii="Times New Roman"/>
                <w:color w:val="auto"/>
                <w:highlight w:val="none"/>
              </w:rPr>
              <w:t>落实主要污染物总量控制和排污许可制度。新建、改建、扩建重点行业建设项目实行主要污染物排放等量或倍量削减替代。严格涉VOCs建设项目环境影响评价，逐步推进区域内VOCs排放等量或倍量削减替代。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vAlign w:val="center"/>
          </w:tcPr>
          <w:p>
            <w:pPr>
              <w:pStyle w:val="194"/>
              <w:jc w:val="center"/>
              <w:rPr>
                <w:rFonts w:ascii="Times New Roman"/>
                <w:b/>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空气质量未达标地区新建项目涉及的二氧化硫、氮氧化物、颗粒物、挥发性有机物（VOCs）排放全面执行大气污染物特别排放限值。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vAlign w:val="center"/>
          </w:tcPr>
          <w:p>
            <w:pPr>
              <w:pStyle w:val="194"/>
              <w:jc w:val="center"/>
              <w:rPr>
                <w:rFonts w:ascii="Times New Roman"/>
                <w:b/>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推行</w:t>
            </w:r>
            <w:r>
              <w:rPr>
                <w:rFonts w:hint="eastAsia" w:ascii="Times New Roman"/>
                <w:color w:val="auto"/>
                <w:highlight w:val="none"/>
              </w:rPr>
              <w:t>秸秆</w:t>
            </w:r>
            <w:r>
              <w:rPr>
                <w:rFonts w:ascii="Times New Roman"/>
                <w:color w:val="auto"/>
                <w:highlight w:val="none"/>
              </w:rPr>
              <w:t>全量化处置，持续推进</w:t>
            </w:r>
            <w:r>
              <w:rPr>
                <w:rFonts w:hint="eastAsia" w:ascii="Times New Roman"/>
                <w:color w:val="auto"/>
                <w:highlight w:val="none"/>
              </w:rPr>
              <w:t>秸秆</w:t>
            </w:r>
            <w:r>
              <w:rPr>
                <w:rFonts w:ascii="Times New Roman"/>
                <w:color w:val="auto"/>
                <w:highlight w:val="none"/>
              </w:rPr>
              <w:t>肥料化、饲料化、能源化、基料化和原料化</w:t>
            </w:r>
            <w:r>
              <w:rPr>
                <w:rFonts w:hint="eastAsia" w:ascii="Times New Roman"/>
                <w:color w:val="auto"/>
                <w:highlight w:val="none"/>
              </w:rPr>
              <w:t>，</w:t>
            </w:r>
            <w:r>
              <w:rPr>
                <w:rFonts w:ascii="Times New Roman"/>
                <w:color w:val="auto"/>
                <w:highlight w:val="none"/>
              </w:rPr>
              <w:t>逐步形成</w:t>
            </w:r>
            <w:r>
              <w:rPr>
                <w:rFonts w:hint="eastAsia" w:ascii="Times New Roman"/>
                <w:color w:val="auto"/>
                <w:highlight w:val="none"/>
              </w:rPr>
              <w:t>秸秆</w:t>
            </w:r>
            <w:r>
              <w:rPr>
                <w:rFonts w:ascii="Times New Roman"/>
                <w:color w:val="auto"/>
                <w:highlight w:val="none"/>
              </w:rPr>
              <w:t>综合利用的长效机制。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vAlign w:val="center"/>
          </w:tcPr>
          <w:p>
            <w:pPr>
              <w:pStyle w:val="194"/>
              <w:jc w:val="center"/>
              <w:rPr>
                <w:rFonts w:ascii="Times New Roman"/>
                <w:b/>
                <w:color w:val="auto"/>
                <w:highlight w:val="none"/>
              </w:rPr>
            </w:pPr>
          </w:p>
        </w:tc>
        <w:tc>
          <w:tcPr>
            <w:tcW w:w="4394" w:type="pct"/>
            <w:vAlign w:val="center"/>
          </w:tcPr>
          <w:p>
            <w:pPr>
              <w:pStyle w:val="194"/>
              <w:contextualSpacing/>
              <w:rPr>
                <w:rFonts w:ascii="Times New Roman"/>
                <w:color w:val="auto"/>
                <w:highlight w:val="none"/>
              </w:rPr>
            </w:pPr>
            <w:r>
              <w:rPr>
                <w:rFonts w:ascii="Times New Roman"/>
                <w:color w:val="auto"/>
                <w:highlight w:val="none"/>
              </w:rPr>
              <w:t>推动城镇污水处理厂扩容工程和提标改造。超负荷、满负荷运行的污水处理厂要及时实施扩容，出水排入超标水域的污水处理厂要因地制宜提高出水标准。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vAlign w:val="center"/>
          </w:tcPr>
          <w:p>
            <w:pPr>
              <w:pStyle w:val="194"/>
              <w:jc w:val="center"/>
              <w:rPr>
                <w:rFonts w:ascii="Times New Roman"/>
                <w:b/>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规模化畜禽养殖场（小区）应当保证畜禽粪污无害化处理和资源化利用设施的正常运转。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restart"/>
            <w:vAlign w:val="center"/>
          </w:tcPr>
          <w:p>
            <w:pPr>
              <w:pStyle w:val="194"/>
              <w:jc w:val="center"/>
              <w:rPr>
                <w:rFonts w:ascii="Times New Roman"/>
                <w:color w:val="auto"/>
                <w:highlight w:val="none"/>
              </w:rPr>
            </w:pPr>
            <w:r>
              <w:rPr>
                <w:rFonts w:ascii="Times New Roman"/>
                <w:b/>
                <w:color w:val="auto"/>
                <w:highlight w:val="none"/>
              </w:rPr>
              <w:t>环境风险防控</w:t>
            </w:r>
          </w:p>
        </w:tc>
        <w:tc>
          <w:tcPr>
            <w:tcW w:w="4394" w:type="pct"/>
            <w:vAlign w:val="center"/>
          </w:tcPr>
          <w:p>
            <w:pPr>
              <w:pStyle w:val="194"/>
              <w:rPr>
                <w:rFonts w:ascii="Times New Roman"/>
                <w:color w:val="auto"/>
                <w:highlight w:val="none"/>
              </w:rPr>
            </w:pPr>
            <w:r>
              <w:rPr>
                <w:rFonts w:ascii="Times New Roman"/>
                <w:color w:val="auto"/>
                <w:highlight w:val="none"/>
              </w:rPr>
              <w:t>到2025年，城镇人口密集区现有不符合防护距离要求的危险化学品生产企业应就地改造达标、搬迁进入规范化工园区或关闭退出，企业安全和环境风险大幅降低。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5" w:type="pct"/>
            <w:vMerge w:val="continue"/>
            <w:vAlign w:val="center"/>
          </w:tcPr>
          <w:p>
            <w:pPr>
              <w:pStyle w:val="194"/>
              <w:jc w:val="center"/>
              <w:rPr>
                <w:rFonts w:ascii="Times New Roman"/>
                <w:b/>
                <w:color w:val="auto"/>
                <w:highlight w:val="none"/>
              </w:rPr>
            </w:pPr>
          </w:p>
        </w:tc>
        <w:tc>
          <w:tcPr>
            <w:tcW w:w="4394" w:type="pct"/>
            <w:vAlign w:val="center"/>
          </w:tcPr>
          <w:p>
            <w:pPr>
              <w:pStyle w:val="194"/>
              <w:rPr>
                <w:rFonts w:ascii="Times New Roman"/>
                <w:bCs w:val="0"/>
                <w:color w:val="auto"/>
                <w:highlight w:val="none"/>
              </w:rPr>
            </w:pPr>
            <w:r>
              <w:rPr>
                <w:rFonts w:ascii="Times New Roman"/>
                <w:bCs w:val="0"/>
                <w:color w:val="auto"/>
                <w:highlight w:val="none"/>
              </w:rPr>
              <w:t>巩固城市饮用水水源保护与治理成果，加强饮用水水源地规范化建设，</w:t>
            </w:r>
            <w:r>
              <w:rPr>
                <w:rFonts w:ascii="Times New Roman"/>
                <w:color w:val="auto"/>
                <w:highlight w:val="none"/>
              </w:rPr>
              <w:t>完善风险防控与应急能力建设和相关管理措施，</w:t>
            </w:r>
            <w:r>
              <w:rPr>
                <w:rFonts w:ascii="Times New Roman"/>
                <w:bCs w:val="0"/>
                <w:color w:val="auto"/>
                <w:highlight w:val="none"/>
              </w:rPr>
              <w:t>保证饮用水水源水质达标和水源安全。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vAlign w:val="center"/>
          </w:tcPr>
          <w:p>
            <w:pPr>
              <w:pStyle w:val="194"/>
              <w:jc w:val="center"/>
              <w:rPr>
                <w:rFonts w:ascii="Times New Roman"/>
                <w:color w:val="auto"/>
                <w:highlight w:val="none"/>
              </w:rPr>
            </w:pPr>
            <w:r>
              <w:rPr>
                <w:rFonts w:ascii="Times New Roman"/>
                <w:b/>
                <w:color w:val="auto"/>
                <w:highlight w:val="none"/>
              </w:rPr>
              <w:t>资源利用要求</w:t>
            </w:r>
          </w:p>
        </w:tc>
        <w:tc>
          <w:tcPr>
            <w:tcW w:w="4394" w:type="pct"/>
            <w:vAlign w:val="center"/>
          </w:tcPr>
          <w:p>
            <w:pPr>
              <w:pStyle w:val="194"/>
              <w:rPr>
                <w:rFonts w:ascii="Times New Roman"/>
                <w:color w:val="auto"/>
                <w:highlight w:val="none"/>
              </w:rPr>
            </w:pPr>
            <w:r>
              <w:rPr>
                <w:rFonts w:ascii="Times New Roman"/>
                <w:color w:val="auto"/>
                <w:highlight w:val="none"/>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按照《中华人民共和国黑土地保护法》《吉林省黑土地保护条例》实施黑土地保护，加大黑土区水土流失治理力度，发展保护性耕作，促进黑土地可持续发展。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严格控制煤炭消费。制定煤炭消费总量控制目标，规范实行煤炭消费控制目标管理和减量（等量）替代管理。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pPr>
              <w:pStyle w:val="194"/>
              <w:jc w:val="center"/>
              <w:rPr>
                <w:rFonts w:ascii="Times New Roman"/>
                <w:color w:val="auto"/>
                <w:highlight w:val="none"/>
              </w:rPr>
            </w:pPr>
          </w:p>
        </w:tc>
        <w:tc>
          <w:tcPr>
            <w:tcW w:w="4394" w:type="pct"/>
            <w:vAlign w:val="center"/>
          </w:tcPr>
          <w:p>
            <w:pPr>
              <w:pStyle w:val="194"/>
              <w:rPr>
                <w:rFonts w:ascii="Times New Roman"/>
                <w:color w:val="auto"/>
                <w:highlight w:val="none"/>
              </w:rPr>
            </w:pPr>
            <w:r>
              <w:rPr>
                <w:rFonts w:ascii="Times New Roman"/>
                <w:color w:val="auto"/>
                <w:highlight w:val="none"/>
              </w:rPr>
              <w:t>高污染燃料禁燃区内，禁止销售、燃用高污染燃料；禁止新建、扩建燃用高污染燃料的设施。</w:t>
            </w:r>
          </w:p>
        </w:tc>
      </w:tr>
    </w:tbl>
    <w:p>
      <w:pPr>
        <w:jc w:val="left"/>
        <w:rPr>
          <w:rFonts w:ascii="Times New Roman" w:hAnsi="Times New Roman" w:eastAsia="仿宋" w:cs="Times New Roman"/>
          <w:highlight w:val="none"/>
        </w:rPr>
        <w:sectPr>
          <w:footerReference r:id="rId9" w:type="default"/>
          <w:pgSz w:w="23811" w:h="16838" w:orient="landscape"/>
          <w:pgMar w:top="1797" w:right="1440" w:bottom="1797" w:left="1440" w:header="851" w:footer="992" w:gutter="0"/>
          <w:pgNumType w:start="1"/>
          <w:cols w:space="425" w:num="1"/>
          <w:docGrid w:type="linesAndChars" w:linePitch="312" w:charSpace="0"/>
        </w:sectPr>
      </w:pPr>
    </w:p>
    <w:p>
      <w:pPr>
        <w:pStyle w:val="2"/>
        <w:spacing w:before="0" w:after="0" w:line="240" w:lineRule="auto"/>
        <w:rPr>
          <w:rFonts w:ascii="Times New Roman" w:hAnsi="Times New Roman" w:eastAsia="仿宋" w:cs="Times New Roman"/>
          <w:sz w:val="32"/>
          <w:szCs w:val="32"/>
          <w:highlight w:val="none"/>
        </w:rPr>
      </w:pPr>
      <w:bookmarkStart w:id="2" w:name="_Toc14809"/>
      <w:r>
        <w:rPr>
          <w:rFonts w:ascii="Times New Roman" w:hAnsi="Times New Roman" w:eastAsia="仿宋" w:cs="Times New Roman"/>
          <w:sz w:val="32"/>
          <w:szCs w:val="32"/>
          <w:highlight w:val="none"/>
        </w:rPr>
        <w:t>二、重点流域总体准入要求</w:t>
      </w:r>
      <w:bookmarkEnd w:id="2"/>
    </w:p>
    <w:p>
      <w:pPr>
        <w:jc w:val="center"/>
        <w:rPr>
          <w:rFonts w:ascii="Times New Roman" w:hAnsi="Times New Roman" w:eastAsia="仿宋" w:cs="Times New Roman"/>
          <w:b/>
          <w:highlight w:val="none"/>
        </w:rPr>
      </w:pPr>
      <w:bookmarkStart w:id="3" w:name="_Toc24556860"/>
      <w:r>
        <w:rPr>
          <w:rFonts w:ascii="Times New Roman" w:hAnsi="Times New Roman" w:eastAsia="仿宋" w:cs="Times New Roman"/>
          <w:b/>
          <w:highlight w:val="none"/>
        </w:rPr>
        <w:t>表2-</w:t>
      </w:r>
      <w:r>
        <w:rPr>
          <w:rFonts w:hint="eastAsia" w:ascii="Times New Roman" w:hAnsi="Times New Roman" w:eastAsia="仿宋" w:cs="Times New Roman"/>
          <w:b/>
          <w:highlight w:val="none"/>
        </w:rPr>
        <w:t>1</w:t>
      </w:r>
      <w:r>
        <w:rPr>
          <w:rFonts w:ascii="Times New Roman" w:hAnsi="Times New Roman" w:eastAsia="仿宋" w:cs="Times New Roman"/>
          <w:b/>
          <w:highlight w:val="none"/>
        </w:rPr>
        <w:t xml:space="preserve"> 重点流域总体准入要求</w:t>
      </w:r>
      <w:bookmarkEnd w:id="3"/>
    </w:p>
    <w:tbl>
      <w:tblPr>
        <w:tblStyle w:val="1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8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Align w:val="center"/>
          </w:tcPr>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管控领域</w:t>
            </w:r>
          </w:p>
        </w:tc>
        <w:tc>
          <w:tcPr>
            <w:tcW w:w="4395" w:type="pct"/>
            <w:vAlign w:val="center"/>
          </w:tcPr>
          <w:p>
            <w:pPr>
              <w:pStyle w:val="194"/>
              <w:spacing w:before="0" w:after="0" w:line="240" w:lineRule="auto"/>
              <w:ind w:firstLine="0"/>
              <w:jc w:val="center"/>
              <w:rPr>
                <w:rFonts w:ascii="Times New Roman"/>
                <w:color w:val="auto"/>
                <w:highlight w:val="none"/>
              </w:rPr>
            </w:pPr>
            <w:r>
              <w:rPr>
                <w:rFonts w:ascii="Times New Roman"/>
                <w:b/>
                <w:color w:val="auto"/>
                <w:spacing w:val="-5"/>
                <w:highlight w:val="none"/>
              </w:rPr>
              <w:t>环境准入及管控要求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00" w:type="pct"/>
            <w:gridSpan w:val="2"/>
            <w:vAlign w:val="center"/>
          </w:tcPr>
          <w:p>
            <w:pPr>
              <w:pStyle w:val="194"/>
              <w:spacing w:before="0" w:after="0" w:line="240" w:lineRule="auto"/>
              <w:ind w:firstLine="482"/>
              <w:jc w:val="center"/>
              <w:rPr>
                <w:rFonts w:ascii="Times New Roman"/>
                <w:b/>
                <w:color w:val="auto"/>
                <w:spacing w:val="-5"/>
                <w:highlight w:val="none"/>
              </w:rPr>
            </w:pPr>
            <w:r>
              <w:rPr>
                <w:rFonts w:ascii="Times New Roman"/>
                <w:b/>
                <w:bCs w:val="0"/>
                <w:color w:val="auto"/>
                <w:highlight w:val="none"/>
              </w:rPr>
              <w:t>一、松花江流域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4" w:type="pct"/>
            <w:vMerge w:val="restart"/>
            <w:vAlign w:val="center"/>
          </w:tcPr>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空间布局</w:t>
            </w:r>
          </w:p>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约束</w:t>
            </w: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合理规划松花江干流沿岸的石油加工、化学原料和化学制品制造、医药制造、化学纤维制造、有色金属冶炼、制浆造纸、纺织印染等产业发展。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辉发河、饮马河、伊通河等重点支流及查干湖、松花湖等重要湿地要实施生态修复、合理建设生态隔离带。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4" w:type="pct"/>
            <w:vMerge w:val="restart"/>
            <w:vAlign w:val="center"/>
          </w:tcPr>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污染物</w:t>
            </w:r>
          </w:p>
          <w:p>
            <w:pPr>
              <w:pStyle w:val="194"/>
              <w:spacing w:before="0" w:after="0" w:line="240" w:lineRule="auto"/>
              <w:ind w:firstLine="0"/>
              <w:jc w:val="center"/>
              <w:rPr>
                <w:rFonts w:ascii="Times New Roman"/>
                <w:color w:val="auto"/>
                <w:highlight w:val="none"/>
              </w:rPr>
            </w:pPr>
            <w:r>
              <w:rPr>
                <w:rFonts w:ascii="Times New Roman"/>
                <w:b/>
                <w:color w:val="auto"/>
                <w:spacing w:val="-5"/>
                <w:highlight w:val="none"/>
              </w:rPr>
              <w:t>排放管控</w:t>
            </w:r>
          </w:p>
        </w:tc>
        <w:tc>
          <w:tcPr>
            <w:tcW w:w="4395" w:type="pct"/>
            <w:vAlign w:val="center"/>
          </w:tcPr>
          <w:p>
            <w:pPr>
              <w:pStyle w:val="194"/>
              <w:spacing w:before="0" w:after="0" w:line="240" w:lineRule="auto"/>
              <w:ind w:firstLine="0"/>
              <w:rPr>
                <w:rFonts w:ascii="Times New Roman"/>
                <w:color w:val="auto"/>
                <w:highlight w:val="none"/>
              </w:rPr>
            </w:pPr>
            <w:r>
              <w:rPr>
                <w:rFonts w:hint="eastAsia" w:ascii="仿宋_GB2312" w:hAnsi="仿宋_GB2312" w:eastAsia="仿宋_GB2312" w:cs="仿宋_GB2312"/>
                <w:bCs w:val="0"/>
                <w:color w:val="auto"/>
                <w:highlight w:val="none"/>
              </w:rPr>
              <w:t>严格执行《吉林省松花江流域水污染防治条例》</w:t>
            </w:r>
            <w:r>
              <w:rPr>
                <w:rFonts w:hint="eastAsia" w:ascii="仿宋_GB2312" w:hAnsi="仿宋_GB2312" w:eastAsia="仿宋_GB2312" w:cs="仿宋_GB2312"/>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推进城镇污水处理设施及配套管网建设与改造，加快实施雨污分流。现有污水处理厂要适时进行扩容和建设再生水利用工程，因地制宜建设人工湿地尾水净化工程。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加快推进乡镇和农村生活污水处理设施建设，推进农村生活污水治理。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加快入江（河、湖、库）排污口规范化建设，严控入江、河、湖、库污染源。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严格控制农业面源污染，推广测土配方施肥和高效、低毒、低残留农药等减量控害技术和统防统治</w:t>
            </w:r>
            <w:r>
              <w:rPr>
                <w:rFonts w:hint="eastAsia" w:ascii="Times New Roman"/>
                <w:color w:val="auto"/>
                <w:highlight w:val="none"/>
              </w:rPr>
              <w:t>，</w:t>
            </w:r>
            <w:r>
              <w:rPr>
                <w:rFonts w:ascii="Times New Roman"/>
                <w:color w:val="auto"/>
                <w:highlight w:val="none"/>
              </w:rPr>
              <w:t>控制化肥和农药使用量。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加大查干湖农田退水污染防治，推进生态护岸和湖滨生态隔离保护带建设，形成岸上、水面和水下</w:t>
            </w:r>
            <w:r>
              <w:rPr>
                <w:rFonts w:hint="eastAsia" w:ascii="Times New Roman"/>
                <w:color w:val="auto"/>
                <w:highlight w:val="none"/>
              </w:rPr>
              <w:t>“</w:t>
            </w:r>
            <w:r>
              <w:rPr>
                <w:rFonts w:ascii="Times New Roman"/>
                <w:color w:val="auto"/>
                <w:highlight w:val="none"/>
              </w:rPr>
              <w:t>立体防护网</w:t>
            </w:r>
            <w:r>
              <w:rPr>
                <w:rFonts w:hint="eastAsia" w:ascii="Times New Roman"/>
                <w:color w:val="auto"/>
                <w:highlight w:val="none"/>
              </w:rPr>
              <w:t>”</w:t>
            </w:r>
            <w:r>
              <w:rPr>
                <w:rFonts w:ascii="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开展规模化养殖场标准</w:t>
            </w:r>
            <w:r>
              <w:rPr>
                <w:rFonts w:hint="eastAsia" w:ascii="Times New Roman"/>
                <w:color w:val="auto"/>
                <w:highlight w:val="none"/>
              </w:rPr>
              <w:t>化</w:t>
            </w:r>
            <w:r>
              <w:rPr>
                <w:rFonts w:ascii="Times New Roman"/>
                <w:color w:val="auto"/>
                <w:highlight w:val="none"/>
              </w:rPr>
              <w:t>建设，防治畜禽养殖污染。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04" w:type="pct"/>
            <w:vMerge w:val="restart"/>
            <w:vAlign w:val="center"/>
          </w:tcPr>
          <w:p>
            <w:pPr>
              <w:pStyle w:val="194"/>
              <w:spacing w:before="0" w:after="0" w:line="240" w:lineRule="auto"/>
              <w:ind w:firstLine="0"/>
              <w:jc w:val="center"/>
              <w:rPr>
                <w:rFonts w:ascii="Times New Roman"/>
                <w:color w:val="auto"/>
                <w:highlight w:val="none"/>
              </w:rPr>
            </w:pPr>
            <w:r>
              <w:rPr>
                <w:rFonts w:ascii="Times New Roman"/>
                <w:b/>
                <w:color w:val="auto"/>
                <w:highlight w:val="none"/>
              </w:rPr>
              <w:t>环境风险防控</w:t>
            </w:r>
          </w:p>
        </w:tc>
        <w:tc>
          <w:tcPr>
            <w:tcW w:w="4395" w:type="pct"/>
            <w:vAlign w:val="center"/>
          </w:tcPr>
          <w:p>
            <w:pPr>
              <w:widowControl/>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防范沿江环境风险，优化松花江干流和嫩江、辉发河、饮马河、伊通河等重点江河</w:t>
            </w:r>
            <w:r>
              <w:rPr>
                <w:rFonts w:hint="eastAsia" w:ascii="Times New Roman" w:hAnsi="Times New Roman" w:eastAsia="仿宋" w:cs="Times New Roman"/>
                <w:szCs w:val="21"/>
                <w:highlight w:val="none"/>
              </w:rPr>
              <w:t>沿岸</w:t>
            </w:r>
            <w:r>
              <w:rPr>
                <w:rFonts w:ascii="Times New Roman" w:hAnsi="Times New Roman" w:eastAsia="仿宋" w:cs="Times New Roman"/>
                <w:szCs w:val="21"/>
                <w:highlight w:val="none"/>
              </w:rPr>
              <w:t>现有石油化工、制药、尾矿库等高风险行业空间布局，合理布局生产装置及危险化学品仓储等设施</w:t>
            </w:r>
            <w:r>
              <w:rPr>
                <w:rFonts w:hint="eastAsia" w:ascii="Times New Roman" w:hAnsi="Times New Roman" w:eastAsia="仿宋" w:cs="Times New Roman"/>
                <w:szCs w:val="21"/>
                <w:highlight w:val="none"/>
              </w:rPr>
              <w:t>，</w:t>
            </w:r>
            <w:r>
              <w:rPr>
                <w:rFonts w:ascii="Times New Roman" w:hAnsi="Times New Roman" w:eastAsia="仿宋" w:cs="Times New Roman"/>
                <w:szCs w:val="21"/>
                <w:highlight w:val="none"/>
              </w:rPr>
              <w:t>做好突发水污染事件的风险防控。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04" w:type="pct"/>
            <w:vMerge w:val="continue"/>
            <w:vAlign w:val="center"/>
          </w:tcPr>
          <w:p>
            <w:pPr>
              <w:pStyle w:val="194"/>
              <w:spacing w:before="120" w:after="120" w:line="360" w:lineRule="exact"/>
              <w:ind w:firstLine="482"/>
              <w:jc w:val="center"/>
              <w:rPr>
                <w:rFonts w:ascii="Times New Roman"/>
                <w:b/>
                <w:color w:val="auto"/>
                <w:highlight w:val="none"/>
              </w:rPr>
            </w:pPr>
          </w:p>
        </w:tc>
        <w:tc>
          <w:tcPr>
            <w:tcW w:w="4395"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加强饮用水水源地环境风险管控，完善风险防控与应急能力建设和相关管理措施，保证饮用水水源水质达标和安全。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04" w:type="pct"/>
            <w:vMerge w:val="restart"/>
            <w:vAlign w:val="center"/>
          </w:tcPr>
          <w:p>
            <w:pPr>
              <w:pStyle w:val="194"/>
              <w:spacing w:before="120" w:after="120" w:line="360" w:lineRule="exact"/>
              <w:ind w:firstLine="0"/>
              <w:jc w:val="center"/>
              <w:rPr>
                <w:rFonts w:ascii="Times New Roman"/>
                <w:b/>
                <w:color w:val="auto"/>
                <w:highlight w:val="none"/>
              </w:rPr>
            </w:pPr>
            <w:r>
              <w:rPr>
                <w:rFonts w:ascii="Times New Roman"/>
                <w:b/>
                <w:color w:val="auto"/>
                <w:highlight w:val="none"/>
              </w:rPr>
              <w:t>资源利用要求</w:t>
            </w:r>
          </w:p>
        </w:tc>
        <w:tc>
          <w:tcPr>
            <w:tcW w:w="4395" w:type="pct"/>
            <w:vAlign w:val="center"/>
          </w:tcPr>
          <w:p>
            <w:pPr>
              <w:pStyle w:val="194"/>
              <w:spacing w:before="0" w:after="0" w:line="240" w:lineRule="auto"/>
              <w:ind w:firstLine="0"/>
              <w:contextualSpacing/>
              <w:rPr>
                <w:rFonts w:ascii="Times New Roman"/>
                <w:color w:val="auto"/>
                <w:highlight w:val="none"/>
              </w:rPr>
            </w:pPr>
            <w:r>
              <w:rPr>
                <w:rFonts w:ascii="Times New Roman"/>
                <w:color w:val="auto"/>
                <w:highlight w:val="none"/>
              </w:rPr>
              <w:t>引导推动造纸、石油化工、玉米深加工等高耗水行业企业实施节水改造和污水深度处理回用</w:t>
            </w:r>
            <w:r>
              <w:rPr>
                <w:rFonts w:hint="eastAsia" w:ascii="Times New Roman"/>
                <w:color w:val="auto"/>
                <w:highlight w:val="none"/>
              </w:rPr>
              <w:t>，</w:t>
            </w:r>
            <w:r>
              <w:rPr>
                <w:rFonts w:ascii="Times New Roman"/>
                <w:color w:val="auto"/>
                <w:highlight w:val="none"/>
              </w:rPr>
              <w:t>建设节水型企业。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4" w:type="pct"/>
            <w:vMerge w:val="continue"/>
            <w:vAlign w:val="center"/>
          </w:tcPr>
          <w:p>
            <w:pPr>
              <w:pStyle w:val="194"/>
              <w:spacing w:before="120" w:after="120" w:line="360" w:lineRule="exact"/>
              <w:ind w:firstLine="482"/>
              <w:jc w:val="center"/>
              <w:rPr>
                <w:rFonts w:ascii="Times New Roman"/>
                <w:b/>
                <w:color w:val="auto"/>
                <w:highlight w:val="none"/>
              </w:rPr>
            </w:pPr>
          </w:p>
        </w:tc>
        <w:tc>
          <w:tcPr>
            <w:tcW w:w="4395" w:type="pct"/>
            <w:vAlign w:val="center"/>
          </w:tcPr>
          <w:p>
            <w:pPr>
              <w:pStyle w:val="194"/>
              <w:spacing w:before="0" w:after="0" w:line="240" w:lineRule="auto"/>
              <w:ind w:firstLine="0"/>
              <w:contextualSpacing/>
              <w:rPr>
                <w:rFonts w:ascii="Times New Roman"/>
                <w:color w:val="auto"/>
                <w:highlight w:val="none"/>
              </w:rPr>
            </w:pPr>
            <w:r>
              <w:rPr>
                <w:rFonts w:ascii="Times New Roman"/>
                <w:color w:val="auto"/>
                <w:highlight w:val="none"/>
              </w:rPr>
              <w:t>统筹流域来水、水利工程与任务，因地置宜实施生态补水。按照流域生态流量调控方案，统筹调控新立城、石头口门水库及辉发河上游蓄水、引水等水利工程供水能力和供水任务，保障饮马河、伊通河、辉发河等重点河流生态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4" w:type="pct"/>
            <w:vMerge w:val="continue"/>
            <w:vAlign w:val="center"/>
          </w:tcPr>
          <w:p>
            <w:pPr>
              <w:pStyle w:val="194"/>
              <w:spacing w:before="120" w:after="120" w:line="360" w:lineRule="exact"/>
              <w:ind w:firstLine="482"/>
              <w:jc w:val="center"/>
              <w:rPr>
                <w:rFonts w:ascii="Times New Roman"/>
                <w:b/>
                <w:color w:val="auto"/>
                <w:highlight w:val="none"/>
              </w:rPr>
            </w:pPr>
          </w:p>
        </w:tc>
        <w:tc>
          <w:tcPr>
            <w:tcW w:w="4395" w:type="pct"/>
            <w:vAlign w:val="center"/>
          </w:tcPr>
          <w:p>
            <w:pPr>
              <w:pStyle w:val="194"/>
              <w:spacing w:before="0" w:after="0" w:line="240" w:lineRule="auto"/>
              <w:ind w:firstLine="0"/>
              <w:contextualSpacing/>
              <w:rPr>
                <w:rFonts w:ascii="Times New Roman"/>
                <w:color w:val="auto"/>
                <w:highlight w:val="none"/>
              </w:rPr>
            </w:pPr>
            <w:r>
              <w:rPr>
                <w:rFonts w:ascii="Times New Roman"/>
                <w:color w:val="auto"/>
                <w:highlight w:val="none"/>
              </w:rPr>
              <w:t>落实最严格水资源管理制度</w:t>
            </w:r>
            <w:r>
              <w:rPr>
                <w:rFonts w:hint="eastAsia" w:ascii="Times New Roman"/>
                <w:color w:val="auto"/>
                <w:highlight w:val="none"/>
              </w:rPr>
              <w:t>，</w:t>
            </w:r>
            <w:r>
              <w:rPr>
                <w:rFonts w:ascii="Times New Roman"/>
                <w:color w:val="auto"/>
                <w:highlight w:val="none"/>
              </w:rPr>
              <w:t>严控河湖水资源开发强度。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00" w:type="pct"/>
            <w:gridSpan w:val="2"/>
            <w:vAlign w:val="center"/>
          </w:tcPr>
          <w:p>
            <w:pPr>
              <w:pStyle w:val="194"/>
              <w:spacing w:before="0" w:after="0" w:line="240" w:lineRule="auto"/>
              <w:ind w:firstLine="482"/>
              <w:jc w:val="center"/>
              <w:rPr>
                <w:rFonts w:ascii="Times New Roman"/>
                <w:b/>
                <w:color w:val="auto"/>
                <w:spacing w:val="-5"/>
                <w:highlight w:val="none"/>
              </w:rPr>
            </w:pPr>
            <w:r>
              <w:rPr>
                <w:rFonts w:ascii="Times New Roman"/>
                <w:b/>
                <w:bCs w:val="0"/>
                <w:color w:val="auto"/>
                <w:highlight w:val="none"/>
              </w:rPr>
              <w:t>二、</w:t>
            </w:r>
            <w:r>
              <w:rPr>
                <w:rFonts w:ascii="Times New Roman"/>
                <w:b/>
                <w:color w:val="auto"/>
                <w:highlight w:val="none"/>
              </w:rPr>
              <w:t>辽河流域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restart"/>
            <w:vAlign w:val="center"/>
          </w:tcPr>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空间布局</w:t>
            </w:r>
          </w:p>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约束</w:t>
            </w: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限制或禁止发展高耗水产业</w:t>
            </w:r>
            <w:r>
              <w:rPr>
                <w:rFonts w:hint="eastAsia" w:ascii="Times New Roman"/>
                <w:color w:val="auto"/>
                <w:highlight w:val="none"/>
              </w:rPr>
              <w:t>。严格环境准入，对水质不达标的区域</w:t>
            </w:r>
            <w:r>
              <w:rPr>
                <w:rFonts w:ascii="Times New Roman"/>
                <w:color w:val="auto"/>
                <w:highlight w:val="none"/>
              </w:rPr>
              <w:t>禁止高耗水和污水排放量大、排放强度高的项目建设，对玉米深加工、化工、纺织印染、屠宰、钢铁、啤酒制造等污染负荷大的行业，加大清洁化改造力度，强化中水回用，提高水资源利用率，促进产业结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contextualSpacing/>
              <w:rPr>
                <w:rFonts w:ascii="Times New Roman"/>
                <w:bCs w:val="0"/>
                <w:color w:val="auto"/>
                <w:highlight w:val="none"/>
              </w:rPr>
            </w:pPr>
            <w:r>
              <w:rPr>
                <w:rFonts w:ascii="Times New Roman"/>
                <w:color w:val="auto"/>
                <w:highlight w:val="none"/>
              </w:rPr>
              <w:t>河流沿岸严格控制石油加工、化学原料和化学制品制造、医药制造、化学纤维制造、有色金属冶炼、制浆造纸、纺织印染等项目建设。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bCs w:val="0"/>
                <w:color w:val="auto"/>
                <w:highlight w:val="none"/>
              </w:rPr>
              <w:t>提升畜禽标准化规模养殖水平、推进养殖产业有序转移，促进畜禽养殖布局调整优化。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0" w:after="0" w:line="240" w:lineRule="auto"/>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bCs w:val="0"/>
                <w:color w:val="auto"/>
                <w:highlight w:val="none"/>
              </w:rPr>
            </w:pPr>
            <w:r>
              <w:rPr>
                <w:rFonts w:ascii="Times New Roman"/>
                <w:color w:val="auto"/>
                <w:highlight w:val="none"/>
              </w:rPr>
              <w:t>在东辽河、西辽河、招苏台河、条子河河流两侧一定范围内科学合理建设河岸生态缓冲带。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restart"/>
            <w:vAlign w:val="center"/>
          </w:tcPr>
          <w:p>
            <w:pPr>
              <w:pStyle w:val="194"/>
              <w:spacing w:before="0" w:after="0" w:line="240" w:lineRule="auto"/>
              <w:ind w:firstLine="0"/>
              <w:jc w:val="center"/>
              <w:rPr>
                <w:rFonts w:ascii="Times New Roman"/>
                <w:b/>
                <w:color w:val="auto"/>
                <w:spacing w:val="-5"/>
                <w:highlight w:val="none"/>
              </w:rPr>
            </w:pPr>
            <w:r>
              <w:rPr>
                <w:rFonts w:ascii="Times New Roman"/>
                <w:b/>
                <w:color w:val="auto"/>
                <w:spacing w:val="-5"/>
                <w:highlight w:val="none"/>
              </w:rPr>
              <w:t>污染物</w:t>
            </w:r>
          </w:p>
          <w:p>
            <w:pPr>
              <w:pStyle w:val="194"/>
              <w:spacing w:before="0" w:after="0" w:line="240" w:lineRule="auto"/>
              <w:ind w:firstLine="0"/>
              <w:jc w:val="center"/>
              <w:rPr>
                <w:rFonts w:ascii="Times New Roman"/>
                <w:color w:val="auto"/>
                <w:highlight w:val="none"/>
              </w:rPr>
            </w:pPr>
            <w:r>
              <w:rPr>
                <w:rFonts w:ascii="Times New Roman"/>
                <w:b/>
                <w:color w:val="auto"/>
                <w:spacing w:val="-5"/>
                <w:highlight w:val="none"/>
              </w:rPr>
              <w:t>排放管控</w:t>
            </w:r>
          </w:p>
        </w:tc>
        <w:tc>
          <w:tcPr>
            <w:tcW w:w="4395" w:type="pct"/>
            <w:vAlign w:val="center"/>
          </w:tcPr>
          <w:p>
            <w:pPr>
              <w:pStyle w:val="194"/>
              <w:spacing w:before="0" w:after="0" w:line="360" w:lineRule="exact"/>
              <w:ind w:firstLine="0"/>
              <w:contextualSpacing/>
              <w:rPr>
                <w:rFonts w:ascii="Times New Roman"/>
                <w:bCs w:val="0"/>
                <w:color w:val="auto"/>
                <w:highlight w:val="none"/>
              </w:rPr>
            </w:pPr>
            <w:r>
              <w:rPr>
                <w:rFonts w:ascii="Times New Roman"/>
                <w:bCs w:val="0"/>
                <w:color w:val="auto"/>
                <w:highlight w:val="none"/>
              </w:rPr>
              <w:t>严格执行《吉林省辽河流域水环境保护条例》</w:t>
            </w:r>
            <w:r>
              <w:rPr>
                <w:rFonts w:ascii="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hint="eastAsia" w:ascii="Times New Roman"/>
                <w:color w:val="auto"/>
                <w:highlight w:val="none"/>
              </w:rPr>
            </w:pPr>
            <w:r>
              <w:rPr>
                <w:rFonts w:hint="eastAsia" w:ascii="仿宋_GB2312" w:hAnsi="仿宋_GB2312" w:eastAsia="仿宋_GB2312" w:cs="仿宋_GB2312"/>
                <w:color w:val="auto"/>
                <w:highlight w:val="none"/>
              </w:rPr>
              <w:t>推进城镇污水处理设施及配套管网建设与改造，加快雨污分流。满足辽河流域断面水质改善的需求，现有污水处理厂要适时进行提标改造，因地制宜建设人工湿地尾水净化工程。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加快推进乡镇和农村生活污水处理设施建设，推进农村生活污水治理。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严格控制农业面源污染，推广测土配方施肥和高效、低毒、低残留农药等减量控害技术和统防统治，控制化肥和农药使用量。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rPr>
                <w:rFonts w:ascii="Times New Roman"/>
                <w:color w:val="auto"/>
                <w:highlight w:val="none"/>
              </w:rPr>
            </w:pPr>
            <w:r>
              <w:rPr>
                <w:rFonts w:ascii="Times New Roman"/>
                <w:color w:val="auto"/>
                <w:highlight w:val="none"/>
              </w:rPr>
              <w:t>加快入河（湖、库）排污口规范化建设，严控入河湖污染源。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604" w:type="pct"/>
            <w:vMerge w:val="continue"/>
            <w:vAlign w:val="center"/>
          </w:tcPr>
          <w:p>
            <w:pPr>
              <w:pStyle w:val="194"/>
              <w:spacing w:before="120" w:after="120" w:line="360" w:lineRule="exact"/>
              <w:ind w:firstLine="482"/>
              <w:jc w:val="center"/>
              <w:rPr>
                <w:rFonts w:ascii="Times New Roman"/>
                <w:b/>
                <w:color w:val="auto"/>
                <w:spacing w:val="-5"/>
                <w:highlight w:val="none"/>
              </w:rPr>
            </w:pPr>
          </w:p>
        </w:tc>
        <w:tc>
          <w:tcPr>
            <w:tcW w:w="4395" w:type="pct"/>
            <w:vAlign w:val="center"/>
          </w:tcPr>
          <w:p>
            <w:pPr>
              <w:pStyle w:val="194"/>
              <w:spacing w:before="0" w:after="0" w:line="240" w:lineRule="auto"/>
              <w:ind w:firstLine="0"/>
              <w:contextualSpacing/>
              <w:rPr>
                <w:rFonts w:ascii="Times New Roman"/>
                <w:bCs w:val="0"/>
                <w:color w:val="auto"/>
                <w:highlight w:val="none"/>
              </w:rPr>
            </w:pPr>
            <w:r>
              <w:rPr>
                <w:rFonts w:ascii="Times New Roman"/>
                <w:color w:val="auto"/>
                <w:highlight w:val="none"/>
              </w:rPr>
              <w:t>加快推进畜禽养殖污染整治，开展规模化养殖场标准化建设。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4" w:type="pct"/>
            <w:vMerge w:val="restart"/>
            <w:vAlign w:val="center"/>
          </w:tcPr>
          <w:p>
            <w:pPr>
              <w:pStyle w:val="194"/>
              <w:spacing w:before="0" w:after="0" w:line="240" w:lineRule="auto"/>
              <w:ind w:firstLine="0"/>
              <w:jc w:val="center"/>
              <w:rPr>
                <w:rFonts w:ascii="Times New Roman"/>
                <w:color w:val="auto"/>
                <w:highlight w:val="none"/>
              </w:rPr>
            </w:pPr>
            <w:r>
              <w:rPr>
                <w:rFonts w:ascii="Times New Roman"/>
                <w:b/>
                <w:color w:val="auto"/>
                <w:highlight w:val="none"/>
              </w:rPr>
              <w:t>环境风险防控</w:t>
            </w:r>
          </w:p>
        </w:tc>
        <w:tc>
          <w:tcPr>
            <w:tcW w:w="4395" w:type="pct"/>
            <w:vAlign w:val="center"/>
          </w:tcPr>
          <w:p>
            <w:pPr>
              <w:widowControl/>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防范沿河环境风险，规范沿河化工园区布局，强化现有重点行业环境隐患排查，合理布局生产装置及危险化学品仓储等设施。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4" w:type="pct"/>
            <w:vMerge w:val="continue"/>
            <w:vAlign w:val="center"/>
          </w:tcPr>
          <w:p>
            <w:pPr>
              <w:pStyle w:val="194"/>
              <w:spacing w:before="120" w:after="120" w:line="360" w:lineRule="exact"/>
              <w:ind w:firstLine="482"/>
              <w:jc w:val="center"/>
              <w:rPr>
                <w:rFonts w:ascii="Times New Roman"/>
                <w:b/>
                <w:color w:val="auto"/>
                <w:highlight w:val="none"/>
              </w:rPr>
            </w:pPr>
          </w:p>
        </w:tc>
        <w:tc>
          <w:tcPr>
            <w:tcW w:w="4395"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加强饮用水水源地环境风险管控，完善风险防控与应急能力建设和相关管理措施，保证饮用水水源水质达标和安全。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4" w:type="pct"/>
            <w:vMerge w:val="restart"/>
            <w:vAlign w:val="center"/>
          </w:tcPr>
          <w:p>
            <w:pPr>
              <w:pStyle w:val="194"/>
              <w:spacing w:before="0" w:after="0" w:line="240" w:lineRule="auto"/>
              <w:ind w:firstLine="0"/>
              <w:jc w:val="center"/>
              <w:rPr>
                <w:rFonts w:ascii="Times New Roman"/>
                <w:b/>
                <w:color w:val="auto"/>
                <w:highlight w:val="none"/>
              </w:rPr>
            </w:pPr>
            <w:r>
              <w:rPr>
                <w:rFonts w:ascii="Times New Roman"/>
                <w:b/>
                <w:color w:val="auto"/>
                <w:highlight w:val="none"/>
              </w:rPr>
              <w:t>资源利用要求</w:t>
            </w:r>
          </w:p>
        </w:tc>
        <w:tc>
          <w:tcPr>
            <w:tcW w:w="4395" w:type="pct"/>
            <w:vAlign w:val="center"/>
          </w:tcPr>
          <w:p>
            <w:pPr>
              <w:pStyle w:val="194"/>
              <w:spacing w:before="0" w:after="0" w:line="240" w:lineRule="auto"/>
              <w:ind w:firstLine="0"/>
              <w:contextualSpacing/>
              <w:rPr>
                <w:rFonts w:ascii="Times New Roman"/>
                <w:bCs w:val="0"/>
                <w:color w:val="auto"/>
                <w:highlight w:val="none"/>
              </w:rPr>
            </w:pPr>
            <w:r>
              <w:rPr>
                <w:rFonts w:ascii="Times New Roman"/>
                <w:bCs w:val="0"/>
                <w:color w:val="auto"/>
                <w:highlight w:val="none"/>
              </w:rPr>
              <w:t>按照流域生态水量保障实施方案，统筹流域来水和中部城市引松供水工程等水利工程供水能力和任务，科学调控杨木水库、二龙山水库、下三台水库水量，保障东辽河流域生态基流。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4" w:type="pct"/>
            <w:vMerge w:val="continue"/>
            <w:vAlign w:val="center"/>
          </w:tcPr>
          <w:p>
            <w:pPr>
              <w:pStyle w:val="194"/>
              <w:spacing w:before="120" w:after="120" w:line="360" w:lineRule="exact"/>
              <w:ind w:firstLine="482"/>
              <w:jc w:val="center"/>
              <w:rPr>
                <w:rFonts w:ascii="Times New Roman"/>
                <w:b/>
                <w:color w:val="FF0000"/>
                <w:highlight w:val="none"/>
              </w:rPr>
            </w:pPr>
          </w:p>
        </w:tc>
        <w:tc>
          <w:tcPr>
            <w:tcW w:w="4395" w:type="pct"/>
            <w:vAlign w:val="center"/>
          </w:tcPr>
          <w:p>
            <w:pPr>
              <w:pStyle w:val="194"/>
              <w:spacing w:before="0" w:after="0" w:line="240" w:lineRule="auto"/>
              <w:ind w:firstLine="0"/>
              <w:contextualSpacing/>
              <w:rPr>
                <w:rFonts w:ascii="Times New Roman"/>
                <w:bCs w:val="0"/>
                <w:color w:val="auto"/>
                <w:highlight w:val="none"/>
              </w:rPr>
            </w:pPr>
            <w:r>
              <w:rPr>
                <w:rFonts w:ascii="Times New Roman"/>
                <w:bCs w:val="0"/>
                <w:color w:val="auto"/>
                <w:highlight w:val="none"/>
              </w:rPr>
              <w:t>引导推动造纸、石油化工、玉米深加工等高耗水行业企业实施节水改造和污水深度处理回用</w:t>
            </w:r>
            <w:r>
              <w:rPr>
                <w:rFonts w:hint="eastAsia" w:ascii="Times New Roman"/>
                <w:bCs w:val="0"/>
                <w:color w:val="auto"/>
                <w:highlight w:val="none"/>
              </w:rPr>
              <w:t>，</w:t>
            </w:r>
            <w:r>
              <w:rPr>
                <w:rFonts w:ascii="Times New Roman"/>
                <w:bCs w:val="0"/>
                <w:color w:val="auto"/>
                <w:highlight w:val="none"/>
              </w:rPr>
              <w:t>建设节水型企业。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04" w:type="pct"/>
            <w:vMerge w:val="continue"/>
            <w:vAlign w:val="center"/>
          </w:tcPr>
          <w:p>
            <w:pPr>
              <w:pStyle w:val="194"/>
              <w:spacing w:before="120" w:after="120" w:line="360" w:lineRule="exact"/>
              <w:ind w:firstLine="482"/>
              <w:jc w:val="center"/>
              <w:rPr>
                <w:rFonts w:ascii="Times New Roman"/>
                <w:b/>
                <w:color w:val="FF0000"/>
                <w:highlight w:val="none"/>
              </w:rPr>
            </w:pPr>
          </w:p>
        </w:tc>
        <w:tc>
          <w:tcPr>
            <w:tcW w:w="4395" w:type="pct"/>
            <w:vAlign w:val="center"/>
          </w:tcPr>
          <w:p>
            <w:pPr>
              <w:pStyle w:val="194"/>
              <w:spacing w:before="0" w:after="0" w:line="240" w:lineRule="auto"/>
              <w:ind w:firstLine="0"/>
              <w:contextualSpacing/>
              <w:rPr>
                <w:rFonts w:ascii="Times New Roman"/>
                <w:bCs w:val="0"/>
                <w:color w:val="auto"/>
                <w:highlight w:val="none"/>
              </w:rPr>
            </w:pPr>
            <w:r>
              <w:rPr>
                <w:rFonts w:ascii="Times New Roman"/>
                <w:bCs w:val="0"/>
                <w:color w:val="auto"/>
                <w:highlight w:val="none"/>
              </w:rPr>
              <w:t>地下水超采区，禁止农业、工业建设项目和服务业新增取用地下水，并逐步削减超采量，实现地下水采补平衡。深层承压地下水原则上只能作为应急和战略储备水源。</w:t>
            </w:r>
          </w:p>
        </w:tc>
      </w:tr>
    </w:tbl>
    <w:p>
      <w:pPr>
        <w:rPr>
          <w:rFonts w:ascii="Times New Roman" w:hAnsi="Times New Roman" w:eastAsia="仿宋" w:cs="Times New Roman"/>
          <w:color w:val="FF0000"/>
          <w:highlight w:val="none"/>
        </w:rPr>
        <w:sectPr>
          <w:pgSz w:w="23811" w:h="16838" w:orient="landscape"/>
          <w:pgMar w:top="1797" w:right="1440" w:bottom="1797" w:left="1440" w:header="851" w:footer="992" w:gutter="0"/>
          <w:pgNumType w:start="1"/>
          <w:cols w:space="425" w:num="1"/>
          <w:docGrid w:type="linesAndChars" w:linePitch="312" w:charSpace="0"/>
        </w:sectPr>
      </w:pPr>
    </w:p>
    <w:p>
      <w:pPr>
        <w:pStyle w:val="2"/>
        <w:spacing w:before="0" w:after="0" w:line="240" w:lineRule="auto"/>
        <w:rPr>
          <w:rFonts w:ascii="Times New Roman" w:hAnsi="Times New Roman" w:eastAsia="仿宋" w:cs="Times New Roman"/>
          <w:sz w:val="32"/>
          <w:szCs w:val="32"/>
          <w:highlight w:val="none"/>
        </w:rPr>
      </w:pPr>
      <w:bookmarkStart w:id="4" w:name="_Toc23619"/>
      <w:r>
        <w:rPr>
          <w:rFonts w:ascii="Times New Roman" w:hAnsi="Times New Roman" w:eastAsia="仿宋" w:cs="Times New Roman"/>
          <w:sz w:val="32"/>
          <w:szCs w:val="32"/>
          <w:highlight w:val="none"/>
        </w:rPr>
        <w:t>三、各市（州）总体准入要求</w:t>
      </w:r>
      <w:bookmarkEnd w:id="4"/>
    </w:p>
    <w:p>
      <w:pPr>
        <w:jc w:val="left"/>
        <w:outlineLvl w:val="1"/>
        <w:rPr>
          <w:rFonts w:ascii="Times New Roman" w:hAnsi="Times New Roman" w:eastAsia="仿宋" w:cs="Times New Roman"/>
          <w:b/>
          <w:sz w:val="32"/>
          <w:szCs w:val="32"/>
          <w:highlight w:val="none"/>
        </w:rPr>
      </w:pPr>
      <w:bookmarkStart w:id="5" w:name="_Toc24736"/>
      <w:r>
        <w:rPr>
          <w:rFonts w:ascii="Times New Roman" w:hAnsi="Times New Roman" w:eastAsia="仿宋" w:cs="Times New Roman"/>
          <w:b/>
          <w:sz w:val="32"/>
          <w:szCs w:val="32"/>
          <w:highlight w:val="none"/>
        </w:rPr>
        <w:t>（一）长春市</w:t>
      </w:r>
      <w:bookmarkEnd w:id="5"/>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bookmarkStart w:id="6" w:name="_Hlk56091916"/>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功能布局总体按照“西产业、东生态、中服务”布局思路。西部依托汽开区、高新南区等平台，建设世界级汽车产业基地；依托绿园经济开发区、宽城装备制造产业开发区等平台，建设世界级轨道客车产业基地；依托北湖科技园、亚泰医药产业园、兴隆综保区、二道国际物流经济开发区等平台，建设中国智能装备制造中心和世界级农产品加工产业基地，并构建现代物流体系，承载世界级先进制造业尖峰区和东北亚国际物流中心职能。依托城市东部的大黑山脉，形成中国北方地区最优美的近郊复合生态功能带。中部沿城市中央的人民大街、伊通河、远达大街复合发展轴，集中发展现代金融、信息技术、科技创新、文化艺术等综合服务功能，打造东北亚国际商务服务中心、东北亚科技创新与转化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年均浓度达到30微克/立方米，优良天数比例达到90%；2035年继续改善（沙尘影响不计入）。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FF0000"/>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水环境质量持续改善。2025年，全市水生态环境质量全面改善，劣</w:t>
            </w:r>
            <w:r>
              <w:rPr>
                <w:rFonts w:hint="eastAsia" w:ascii="宋体" w:hAnsi="宋体" w:eastAsia="宋体" w:cs="宋体"/>
                <w:szCs w:val="21"/>
                <w:highlight w:val="none"/>
              </w:rPr>
              <w:t>Ⅴ</w:t>
            </w:r>
            <w:r>
              <w:rPr>
                <w:rFonts w:ascii="Times New Roman" w:hAnsi="Times New Roman" w:eastAsia="仿宋" w:cs="Times New Roman"/>
                <w:szCs w:val="21"/>
                <w:highlight w:val="none"/>
              </w:rPr>
              <w:t>类水体全面消除，地表水国控断面达到或好于</w:t>
            </w:r>
            <w:r>
              <w:rPr>
                <w:rFonts w:hint="eastAsia" w:ascii="宋体" w:hAnsi="宋体" w:eastAsia="宋体" w:cs="宋体"/>
                <w:szCs w:val="21"/>
                <w:highlight w:val="none"/>
              </w:rPr>
              <w:t>Ⅲ</w:t>
            </w:r>
            <w:r>
              <w:rPr>
                <w:rFonts w:ascii="Times New Roman" w:hAnsi="Times New Roman" w:eastAsia="仿宋" w:cs="Times New Roman"/>
                <w:szCs w:val="21"/>
                <w:highlight w:val="none"/>
              </w:rPr>
              <w:t>类水体比例达到</w:t>
            </w:r>
            <w:r>
              <w:rPr>
                <w:rFonts w:hint="eastAsia" w:ascii="仿宋_GB2312" w:hAnsi="仿宋_GB2312" w:eastAsia="仿宋_GB2312" w:cs="仿宋_GB2312"/>
                <w:szCs w:val="21"/>
                <w:highlight w:val="none"/>
              </w:rPr>
              <w:t>62.5%</w:t>
            </w:r>
            <w:r>
              <w:rPr>
                <w:rFonts w:ascii="Times New Roman" w:hAnsi="Times New Roman" w:eastAsia="仿宋" w:cs="Times New Roman"/>
                <w:szCs w:val="21"/>
                <w:highlight w:val="none"/>
              </w:rPr>
              <w:t>，河流生态水量得到基本保障，生态环境质量实现根本好转，水生态系统功能初步恢复。2035年，全市水生态环境质量在满足水生态功能区要求外，河流生态水量得到根本保障，水生态系统功能全面改善。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continue"/>
            <w:vAlign w:val="center"/>
          </w:tcPr>
          <w:p>
            <w:pPr>
              <w:pStyle w:val="194"/>
              <w:spacing w:before="120" w:after="120" w:line="360" w:lineRule="exact"/>
              <w:ind w:firstLine="482"/>
              <w:jc w:val="center"/>
              <w:rPr>
                <w:rFonts w:ascii="Times New Roman"/>
                <w:b/>
                <w:color w:val="FF0000"/>
                <w:spacing w:val="-5"/>
                <w:sz w:val="22"/>
                <w:szCs w:val="22"/>
                <w:highlight w:val="none"/>
              </w:rPr>
            </w:pP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污染物</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控制要求</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实施20蒸吨以上燃煤锅炉升级改造，推动秸秆禁烧和综合利用。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74" w:type="pct"/>
            <w:vMerge w:val="continue"/>
            <w:vAlign w:val="center"/>
          </w:tcPr>
          <w:p>
            <w:pPr>
              <w:spacing w:before="120" w:after="120" w:line="360" w:lineRule="exact"/>
              <w:ind w:firstLine="482"/>
              <w:rPr>
                <w:rFonts w:ascii="Times New Roman" w:hAnsi="Times New Roman" w:eastAsia="仿宋" w:cs="Times New Roman"/>
                <w:color w:val="FF0000"/>
                <w:highlight w:val="none"/>
              </w:rPr>
            </w:pPr>
          </w:p>
        </w:tc>
        <w:tc>
          <w:tcPr>
            <w:tcW w:w="374" w:type="pct"/>
            <w:vMerge w:val="continue"/>
            <w:vAlign w:val="center"/>
          </w:tcPr>
          <w:p>
            <w:pPr>
              <w:spacing w:before="0" w:after="0" w:line="240" w:lineRule="auto"/>
              <w:ind w:firstLine="0"/>
              <w:jc w:val="left"/>
              <w:rPr>
                <w:rFonts w:ascii="Times New Roman" w:hAnsi="Times New Roman" w:eastAsia="仿宋" w:cs="Times New Roman"/>
                <w:szCs w:val="21"/>
                <w:highlight w:val="none"/>
              </w:rPr>
            </w:pP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全面推行清洁生产，加强重点企业清洁生产审核，推进重点行业改造生产流程。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spacing w:before="120" w:after="120" w:line="360" w:lineRule="exact"/>
              <w:ind w:firstLine="482"/>
              <w:rPr>
                <w:rFonts w:ascii="Times New Roman" w:hAnsi="Times New Roman" w:eastAsia="仿宋" w:cs="Times New Roman"/>
                <w:color w:val="FF0000"/>
                <w:highlight w:val="none"/>
              </w:rPr>
            </w:pPr>
          </w:p>
        </w:tc>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加快产业园区绿色化循环化改造，建设绿色低碳的交通网络、建筑体系和工业体系，从源头减少能耗、物耗和污染物排放。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2025年用水量控制在30.20亿立方米内，2035年用水量控制在34.5亿立方米。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2025年耕地保有量不低于17858.88平方千米；永久基本农田保护面积不低于14766.90平方千米；城镇开发边界控制在1475.54平方千米以内。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2025年，煤炭消费总量控制在2711万吨以内。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0"/>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其他</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探索构建统一高效的环境产品交易体系，积极推进排污权、用水权、碳排放交易，激发各类市场主体绿色发展内生动力。健全充分反映资源稀缺程度的用水、用电价格，体现环境损害成本的污水、垃圾处理价格，将生态环境成本纳入经济运行成本。推行生活垃圾分类。构建线上线下融合的废旧资源回收和循环利用体系，扩大生产者责任延伸制范围，动态更新产品回收名录，提高废旧资源再生利用水平。提高工业固体废物综合利用水平。发展循环经济。全面建立资源高效利用制度机制，健全资源节约集约循环利用政策体系，积极推进循环经济产业园建设。发展节能环保产业，提升节能环保技术、现代装备和服务水平。积极开发新能源和可再生能源，建立温室气体排放检测制度，构建以循环经济为主体的生态产业体系，培育以低碳为特征的循环经济增长点。</w:t>
            </w:r>
          </w:p>
        </w:tc>
      </w:tr>
      <w:bookmarkEnd w:id="6"/>
    </w:tbl>
    <w:p>
      <w:pPr>
        <w:jc w:val="left"/>
        <w:rPr>
          <w:rFonts w:ascii="Times New Roman" w:hAnsi="Times New Roman" w:eastAsia="仿宋" w:cs="Times New Roman"/>
          <w:b/>
          <w:color w:val="FF0000"/>
          <w:szCs w:val="21"/>
          <w:highlight w:val="none"/>
        </w:rPr>
      </w:pPr>
    </w:p>
    <w:p>
      <w:pPr>
        <w:jc w:val="left"/>
        <w:outlineLvl w:val="1"/>
        <w:rPr>
          <w:rFonts w:ascii="Times New Roman" w:hAnsi="Times New Roman" w:eastAsia="仿宋" w:cs="Times New Roman"/>
          <w:b/>
          <w:sz w:val="32"/>
          <w:szCs w:val="32"/>
          <w:highlight w:val="none"/>
        </w:rPr>
      </w:pPr>
      <w:bookmarkStart w:id="7" w:name="_Toc27564"/>
      <w:r>
        <w:rPr>
          <w:rFonts w:ascii="Times New Roman" w:hAnsi="Times New Roman" w:eastAsia="仿宋" w:cs="Times New Roman"/>
          <w:b/>
          <w:sz w:val="32"/>
          <w:szCs w:val="32"/>
          <w:highlight w:val="none"/>
        </w:rPr>
        <w:t>（二）吉林市</w:t>
      </w:r>
      <w:bookmarkEnd w:id="7"/>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结合产业结构调整和城市转型升级，研究解决结构性污染问题，有计划地推进重污染企业退城入园。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年均浓度达到30微克/立方米，优良天数比例达到90%；2035年继续改善（沙尘影响不计入）。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水环境质量持续改善。2025年，全市水环境质量全面改善，劣Ⅴ类水体全面消除，国控考核断面地表水质量达到或优于Ⅲ类水体比例达到</w:t>
            </w:r>
            <w:r>
              <w:rPr>
                <w:rFonts w:hint="eastAsia" w:ascii="仿宋_GB2312" w:hAnsi="仿宋_GB2312" w:eastAsia="仿宋_GB2312" w:cs="仿宋_GB2312"/>
                <w:szCs w:val="21"/>
                <w:highlight w:val="none"/>
              </w:rPr>
              <w:t>94.7%</w:t>
            </w:r>
            <w:r>
              <w:rPr>
                <w:rFonts w:ascii="Times New Roman" w:hAnsi="Times New Roman" w:eastAsia="仿宋" w:cs="Times New Roman"/>
                <w:szCs w:val="21"/>
                <w:highlight w:val="none"/>
              </w:rPr>
              <w:t>以上，用水效率明显提高，生态流量得到基本保障，水污染治理水平及水环境管理水平进一步提高，主要水污染物排放总量持续削减。县级及以上城市集中式饮用水水源地水质达到或优于Ⅲ类，流域水环境保护水平与全面建成小康社会目标相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污染物</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控制要求</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2025年，全市基本消除城市建成区生活污水直排口和收集处理设施空白区，污水收集处理率达到98%。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74" w:type="pct"/>
            <w:vMerge w:val="continue"/>
            <w:vAlign w:val="center"/>
          </w:tcPr>
          <w:p>
            <w:pPr>
              <w:spacing w:before="120" w:after="120" w:line="360" w:lineRule="exact"/>
              <w:ind w:firstLine="482"/>
              <w:rPr>
                <w:rFonts w:ascii="Times New Roman" w:hAnsi="Times New Roman" w:eastAsia="仿宋" w:cs="Times New Roman"/>
                <w:highlight w:val="none"/>
              </w:rPr>
            </w:pPr>
          </w:p>
        </w:tc>
        <w:tc>
          <w:tcPr>
            <w:tcW w:w="374" w:type="pct"/>
            <w:vMerge w:val="continue"/>
            <w:vAlign w:val="center"/>
          </w:tcPr>
          <w:p>
            <w:pPr>
              <w:spacing w:before="0" w:after="0" w:line="240" w:lineRule="auto"/>
              <w:ind w:firstLine="0"/>
              <w:jc w:val="left"/>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2025年，城市生活垃圾回收利用率达到35%以上</w:t>
            </w:r>
            <w:r>
              <w:rPr>
                <w:rFonts w:hint="eastAsia" w:ascii="Times New Roman" w:hAnsi="Times New Roman" w:eastAsia="仿宋" w:cs="Times New Roman"/>
                <w:szCs w:val="21"/>
                <w:highlight w:val="none"/>
              </w:rPr>
              <w:t>，</w:t>
            </w:r>
            <w:r>
              <w:rPr>
                <w:rFonts w:ascii="Times New Roman" w:hAnsi="Times New Roman" w:eastAsia="仿宋" w:cs="Times New Roman"/>
                <w:szCs w:val="21"/>
                <w:highlight w:val="none"/>
              </w:rPr>
              <w:t>全市建筑垃圾资源化利用率达到100%。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2025年用水量控制在24.44亿立方米，2035年用水量控制在31.3亿立方米。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2025年耕地保有量不低于9031.12平方千米；永久基本农田保护面积不低于6191.27平方千米；城镇开发边界控制在468.38平方千米以内。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2025年，煤炭消费总量控制在1382.54万吨以内。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0"/>
              <w:rPr>
                <w:rFonts w:ascii="Times New Roman" w:hAnsi="Times New Roman" w:eastAsia="仿宋" w:cs="Times New Roman"/>
                <w:color w:val="FF0000"/>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其他</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实施工业绿色生产，促进固体废物减量和循环利用；推动大宗工业固体废物资源化利用；逐步解决工业固体废物历史遗留问题。推行农业绿色生产，促进主要农业废弃物再利用。逐步实现畜禽粪污就近就地综合利用；加大秸秆禁烧力度，推动区域农作物秸秆综合利用；提升废旧农膜及农药包装废弃物再利用水平；建立政府引导、企业主体、农户参与的回收利用体系。推动生活垃圾、建筑垃圾源头减量和资源化利用，加强生活垃圾分类。</w:t>
            </w:r>
          </w:p>
        </w:tc>
      </w:tr>
    </w:tbl>
    <w:p>
      <w:pPr>
        <w:rPr>
          <w:rFonts w:ascii="Times New Roman" w:hAnsi="Times New Roman" w:eastAsia="仿宋" w:cs="Times New Roman"/>
          <w:color w:val="FF0000"/>
          <w:highlight w:val="none"/>
        </w:rPr>
      </w:pPr>
    </w:p>
    <w:p>
      <w:pPr>
        <w:rPr>
          <w:rFonts w:ascii="Times New Roman" w:hAnsi="Times New Roman" w:eastAsia="仿宋" w:cs="Times New Roman"/>
          <w:color w:val="FF0000"/>
          <w:highlight w:val="none"/>
        </w:rPr>
      </w:pPr>
    </w:p>
    <w:p>
      <w:pPr>
        <w:outlineLvl w:val="1"/>
        <w:rPr>
          <w:rFonts w:ascii="Times New Roman" w:hAnsi="Times New Roman" w:eastAsia="仿宋" w:cs="Times New Roman"/>
          <w:b/>
          <w:sz w:val="32"/>
          <w:szCs w:val="32"/>
          <w:highlight w:val="none"/>
        </w:rPr>
      </w:pPr>
      <w:bookmarkStart w:id="8" w:name="_Toc12626"/>
      <w:r>
        <w:rPr>
          <w:rFonts w:ascii="Times New Roman" w:hAnsi="Times New Roman" w:eastAsia="仿宋" w:cs="Times New Roman"/>
          <w:b/>
          <w:sz w:val="32"/>
          <w:szCs w:val="32"/>
          <w:highlight w:val="none"/>
        </w:rPr>
        <w:t>（三）四平市</w:t>
      </w:r>
      <w:bookmarkEnd w:id="8"/>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结合产业结构调整和城市转型升级，研究解决结构性污染问题，有计划地推进重污染企业退城入园。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年均浓度达到29微克/立方米，优良天数比例达到90%；2035年继续改善（沙尘影响不计入）。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水环境质量持续改善。2025年，四平地区水生态环境质量全面改善，劣Ⅴ类水体全面消除，地表水质量达到或好于Ⅲ类水体比例达到</w:t>
            </w:r>
            <w:r>
              <w:rPr>
                <w:rFonts w:hint="eastAsia" w:ascii="仿宋_GB2312" w:hAnsi="仿宋_GB2312" w:eastAsia="仿宋_GB2312" w:cs="仿宋_GB2312"/>
                <w:szCs w:val="21"/>
                <w:highlight w:val="none"/>
              </w:rPr>
              <w:t>90%</w:t>
            </w:r>
            <w:r>
              <w:rPr>
                <w:rFonts w:ascii="Times New Roman" w:hAnsi="Times New Roman" w:eastAsia="仿宋" w:cs="Times New Roman"/>
                <w:szCs w:val="21"/>
                <w:highlight w:val="none"/>
              </w:rPr>
              <w:t>，河流生态水量得到基本保障，生态环境质量实现根本好转，水生态系统功能初步恢复。2035年，四平地区水生态环境质量在满足水生态功能区要求外，河流生态水量得到根本保障，水生态系统功能全面改善。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2025年用水量控制在8.11亿立方米，2035年用水量控制在8.8</w:t>
            </w:r>
            <w:r>
              <w:rPr>
                <w:rFonts w:hint="eastAsia" w:ascii="Times New Roman" w:hAnsi="Times New Roman" w:eastAsia="仿宋" w:cs="Times New Roman"/>
                <w:szCs w:val="21"/>
                <w:highlight w:val="none"/>
              </w:rPr>
              <w:t>亿</w:t>
            </w:r>
            <w:r>
              <w:rPr>
                <w:rFonts w:ascii="Times New Roman" w:hAnsi="Times New Roman" w:eastAsia="仿宋" w:cs="Times New Roman"/>
                <w:szCs w:val="21"/>
                <w:highlight w:val="none"/>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2025年耕地保有量不低于6720.71平方千米；永久基本农田保护面积不低于5166.67平方千米；城镇开发边界控制在212.66平方千米以内。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2025年煤炭消费总量控制在1200万吨以内。</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9" w:name="_Toc24179"/>
      <w:r>
        <w:rPr>
          <w:rFonts w:ascii="Times New Roman" w:hAnsi="Times New Roman" w:eastAsia="仿宋" w:cs="Times New Roman"/>
          <w:b/>
          <w:sz w:val="32"/>
          <w:szCs w:val="32"/>
          <w:highlight w:val="none"/>
        </w:rPr>
        <w:t>（四）辽源市</w:t>
      </w:r>
      <w:bookmarkEnd w:id="9"/>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加快推进城镇人口密集区和环境敏感区域的危险化学品生产企业搬迁入园或转产关闭工作。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年均浓度达到28微克/立方米，优良天数比例达到91%；2035年继续改善（沙尘影响不计入）。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水环境质量持续改善。2025年，辽源地区水生态环境质量全面改善，劣</w:t>
            </w:r>
            <w:r>
              <w:rPr>
                <w:rFonts w:hint="eastAsia" w:ascii="宋体" w:hAnsi="宋体" w:eastAsia="宋体" w:cs="宋体"/>
                <w:szCs w:val="21"/>
                <w:highlight w:val="none"/>
              </w:rPr>
              <w:t>Ⅴ</w:t>
            </w:r>
            <w:r>
              <w:rPr>
                <w:rFonts w:ascii="Times New Roman" w:hAnsi="Times New Roman" w:eastAsia="仿宋" w:cs="Times New Roman"/>
                <w:szCs w:val="21"/>
                <w:highlight w:val="none"/>
              </w:rPr>
              <w:t>类水体全面消除，</w:t>
            </w:r>
            <w:r>
              <w:rPr>
                <w:rFonts w:hint="eastAsia" w:ascii="仿宋_GB2312" w:hAnsi="仿宋_GB2312" w:eastAsia="仿宋_GB2312" w:cs="仿宋_GB2312"/>
                <w:szCs w:val="21"/>
                <w:highlight w:val="none"/>
              </w:rPr>
              <w:t>地表水质量达到或好于Ⅲ类水体比例达到100%，</w:t>
            </w:r>
            <w:r>
              <w:rPr>
                <w:rFonts w:ascii="Times New Roman" w:hAnsi="Times New Roman" w:eastAsia="仿宋" w:cs="Times New Roman"/>
                <w:szCs w:val="21"/>
                <w:highlight w:val="none"/>
              </w:rPr>
              <w:t>河流生态水量得到基本保障，生态环境质量实现根本好转，水生态系统功能初步恢复。2035年，辽源地区水生态环境质量在满足水生态功能区要求外，河流生态水量得到根本保障，水生态系统功能全面改善。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2025年用水量控制在3.03亿立方米，2035年用水量控制在4.0亿立方米。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2025年耕地保有量不低于2670.45平方千米；永久基本农田保护面积不低于1908.13平方千米；城镇开发边界控制在116.18平方千米以内。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537.47（+36.3）万吨以内。（注：为解决辽源市政府呈报的历史遗留问题项目，辽源市煤炭消费总量控制目标在已分解的基础上增加36.3万吨，新增的煤炭消费总量控制目标仅允许用于解决辽源市政府呈报的历史遗留问题项目，不可调剂为本地区其他项目使用；新增的煤炭消费总量控制目标不在已分解的煤炭消费总量控制目标内考核。）</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0" w:name="_Toc1415"/>
      <w:r>
        <w:rPr>
          <w:rFonts w:ascii="Times New Roman" w:hAnsi="Times New Roman" w:eastAsia="仿宋" w:cs="Times New Roman"/>
          <w:b/>
          <w:sz w:val="32"/>
          <w:szCs w:val="32"/>
          <w:highlight w:val="none"/>
        </w:rPr>
        <w:t>（五）通化市</w:t>
      </w:r>
      <w:bookmarkEnd w:id="10"/>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Merge w:val="restar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加快推进城镇人口密集区和环境敏感区域的危险化学品生产企业搬迁入园或转产关闭工作。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74" w:type="pct"/>
            <w:vMerge w:val="continue"/>
            <w:vAlign w:val="center"/>
          </w:tcPr>
          <w:p>
            <w:pPr>
              <w:spacing w:before="120" w:after="120" w:line="360" w:lineRule="exact"/>
              <w:ind w:firstLine="482"/>
              <w:jc w:val="center"/>
              <w:rPr>
                <w:rFonts w:ascii="Times New Roman" w:hAnsi="Times New Roman" w:eastAsia="仿宋" w:cs="Times New Roman"/>
                <w:b/>
                <w:highlight w:val="none"/>
              </w:rPr>
            </w:pP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禁止在下列林地的采伐迹地种植人参：（</w:t>
            </w:r>
            <w:r>
              <w:rPr>
                <w:rFonts w:hint="eastAsia" w:ascii="Times New Roman" w:hAnsi="Times New Roman" w:eastAsia="仿宋" w:cs="Times New Roman"/>
                <w:szCs w:val="21"/>
                <w:highlight w:val="none"/>
              </w:rPr>
              <w:t>1</w:t>
            </w:r>
            <w:r>
              <w:rPr>
                <w:rFonts w:ascii="Times New Roman" w:hAnsi="Times New Roman" w:eastAsia="仿宋" w:cs="Times New Roman"/>
                <w:szCs w:val="21"/>
                <w:highlight w:val="none"/>
              </w:rPr>
              <w:t>）自然保护区、森林公园、景区及其附近林地；（</w:t>
            </w:r>
            <w:r>
              <w:rPr>
                <w:rFonts w:hint="eastAsia" w:ascii="Times New Roman" w:hAnsi="Times New Roman" w:eastAsia="仿宋" w:cs="Times New Roman"/>
                <w:szCs w:val="21"/>
                <w:highlight w:val="none"/>
              </w:rPr>
              <w:t>2</w:t>
            </w:r>
            <w:r>
              <w:rPr>
                <w:rFonts w:ascii="Times New Roman" w:hAnsi="Times New Roman" w:eastAsia="仿宋" w:cs="Times New Roman"/>
                <w:szCs w:val="21"/>
                <w:highlight w:val="none"/>
              </w:rPr>
              <w:t>）江河源头和两岸林地；（</w:t>
            </w:r>
            <w:r>
              <w:rPr>
                <w:rFonts w:hint="eastAsia" w:ascii="Times New Roman" w:hAnsi="Times New Roman" w:eastAsia="仿宋" w:cs="Times New Roman"/>
                <w:szCs w:val="21"/>
                <w:highlight w:val="none"/>
              </w:rPr>
              <w:t>3</w:t>
            </w:r>
            <w:r>
              <w:rPr>
                <w:rFonts w:ascii="Times New Roman" w:hAnsi="Times New Roman" w:eastAsia="仿宋" w:cs="Times New Roman"/>
                <w:szCs w:val="21"/>
                <w:highlight w:val="none"/>
              </w:rPr>
              <w:t>）水库、湖泊周围等生态重要区位林地；（</w:t>
            </w:r>
            <w:r>
              <w:rPr>
                <w:rFonts w:hint="eastAsia" w:ascii="Times New Roman" w:hAnsi="Times New Roman" w:eastAsia="仿宋" w:cs="Times New Roman"/>
                <w:szCs w:val="21"/>
                <w:highlight w:val="none"/>
              </w:rPr>
              <w:t>4</w:t>
            </w:r>
            <w:r>
              <w:rPr>
                <w:rFonts w:ascii="Times New Roman" w:hAnsi="Times New Roman" w:eastAsia="仿宋" w:cs="Times New Roman"/>
                <w:szCs w:val="21"/>
                <w:highlight w:val="none"/>
              </w:rPr>
              <w:t>）国道、省道、县道两侧第一层山脊内林地；    （</w:t>
            </w:r>
            <w:r>
              <w:rPr>
                <w:rFonts w:hint="eastAsia" w:ascii="Times New Roman" w:hAnsi="Times New Roman" w:eastAsia="仿宋" w:cs="Times New Roman"/>
                <w:szCs w:val="21"/>
                <w:highlight w:val="none"/>
              </w:rPr>
              <w:t>5</w:t>
            </w:r>
            <w:r>
              <w:rPr>
                <w:rFonts w:ascii="Times New Roman" w:hAnsi="Times New Roman" w:eastAsia="仿宋" w:cs="Times New Roman"/>
                <w:szCs w:val="21"/>
                <w:highlight w:val="none"/>
              </w:rPr>
              <w:t>）坡度在25度以上的林地；（</w:t>
            </w:r>
            <w:r>
              <w:rPr>
                <w:rFonts w:hint="eastAsia" w:ascii="Times New Roman" w:hAnsi="Times New Roman" w:eastAsia="仿宋" w:cs="Times New Roman"/>
                <w:szCs w:val="21"/>
                <w:highlight w:val="none"/>
              </w:rPr>
              <w:t>6</w:t>
            </w:r>
            <w:r>
              <w:rPr>
                <w:rFonts w:ascii="Times New Roman" w:hAnsi="Times New Roman" w:eastAsia="仿宋" w:cs="Times New Roman"/>
                <w:szCs w:val="21"/>
                <w:highlight w:val="none"/>
              </w:rPr>
              <w:t>）山脊、沟壑等林地；（</w:t>
            </w:r>
            <w:r>
              <w:rPr>
                <w:rFonts w:hint="eastAsia" w:ascii="Times New Roman" w:hAnsi="Times New Roman" w:eastAsia="仿宋" w:cs="Times New Roman"/>
                <w:szCs w:val="21"/>
                <w:highlight w:val="none"/>
              </w:rPr>
              <w:t>7</w:t>
            </w:r>
            <w:r>
              <w:rPr>
                <w:rFonts w:ascii="Times New Roman" w:hAnsi="Times New Roman" w:eastAsia="仿宋" w:cs="Times New Roman"/>
                <w:szCs w:val="21"/>
                <w:highlight w:val="none"/>
              </w:rPr>
              <w:t>）不符合人参种植标准和要求的其他林地。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年均浓度达到25微克/立方米，优良天数比例达到97%；2035年允许波动，不能恶化（沙尘影响不计入）。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水环境质量持续改善。2025年，国控断面水质达到或优于III类比例达到</w:t>
            </w:r>
            <w:r>
              <w:rPr>
                <w:rFonts w:hint="eastAsia" w:ascii="仿宋_GB2312" w:hAnsi="仿宋_GB2312" w:eastAsia="仿宋_GB2312" w:cs="仿宋_GB2312"/>
                <w:szCs w:val="21"/>
                <w:highlight w:val="none"/>
              </w:rPr>
              <w:t>100.0%</w:t>
            </w:r>
            <w:r>
              <w:rPr>
                <w:rFonts w:ascii="Times New Roman" w:hAnsi="Times New Roman" w:eastAsia="仿宋" w:cs="Times New Roman"/>
                <w:szCs w:val="21"/>
                <w:highlight w:val="none"/>
              </w:rPr>
              <w:t>，全面消除劣Ⅴ类水，全市集中式饮用水水源地水质达到或优于Ⅲ类水质比例保持100%。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2025年用水量控制在7.75亿立方米，2035年用水量控制在10.2亿立方米。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2025年耕地保有量不低于2732.93平方千米；永久基本农田保护面积不低于1787.17平方千米；城镇开发边界控制在177.60平方千米以内。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2025年，煤炭消费总量控制在565.60万吨以内，非化石能源消费比重达到16%。</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1" w:name="_Toc19152"/>
      <w:r>
        <w:rPr>
          <w:rFonts w:ascii="Times New Roman" w:hAnsi="Times New Roman" w:eastAsia="仿宋" w:cs="Times New Roman"/>
          <w:b/>
          <w:sz w:val="32"/>
          <w:szCs w:val="32"/>
          <w:highlight w:val="none"/>
        </w:rPr>
        <w:t>（六）白山市</w:t>
      </w:r>
      <w:bookmarkEnd w:id="11"/>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禁止在下列林地的采伐迹地种植人参：（1）自然保护区、森林公园、景区及其附近林地；（2）江河源头和两岸林地；（3）水库、湖泊周围等生态重要区位林地；（4）国道、省道、县道两侧第一层山脊内林地；    （5）坡度在25度以上的林地；（6）山脊、沟壑等林地；（7）不符合人参种植标准和要求的其他林地。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年均浓度达到25微克/立方米，优良天数比例保持在98%左右；2035年允许波动，不能恶化（沙尘影响不计入）。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水环境质量持续改善。2025年，地表水国控断面达到或优于</w:t>
            </w:r>
            <w:r>
              <w:rPr>
                <w:rFonts w:hint="eastAsia" w:ascii="宋体" w:hAnsi="宋体" w:eastAsia="宋体" w:cs="宋体"/>
                <w:szCs w:val="21"/>
                <w:highlight w:val="none"/>
              </w:rPr>
              <w:t>Ⅲ</w:t>
            </w:r>
            <w:r>
              <w:rPr>
                <w:rFonts w:ascii="Times New Roman" w:hAnsi="Times New Roman" w:eastAsia="仿宋" w:cs="Times New Roman"/>
                <w:szCs w:val="21"/>
                <w:highlight w:val="none"/>
              </w:rPr>
              <w:t>类水体比例保持100%，饮用水水源地水质稳定达标。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2025年用水量控制在2.24亿立方米，2035年用水量控制在4.8亿立方米。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2025年耕地保有量不低于1059.01平方千米；永久基本农田保护面积不低于708.71平方千米；城镇开发边界控制在184.25平方千米以内。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2025年，煤炭消费总量控制在451.74万吨以内，非化石能源消费比重达到15%。</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2" w:name="_Toc14741"/>
      <w:r>
        <w:rPr>
          <w:rFonts w:ascii="Times New Roman" w:hAnsi="Times New Roman" w:eastAsia="仿宋" w:cs="Times New Roman"/>
          <w:b/>
          <w:sz w:val="32"/>
          <w:szCs w:val="32"/>
          <w:highlight w:val="none"/>
        </w:rPr>
        <w:t>（七）松原市</w:t>
      </w:r>
      <w:bookmarkEnd w:id="12"/>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加快推进城镇人口密集区和环境敏感区域的危险化学品生产企业搬迁入园或转产关闭工作。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年均浓度达到25微克/立方米，优良天数比例达到95%；2035年允许波动，不能恶化（沙尘影响不计入）。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松原地区水生态环境质量全面改善，地表水达到或好于Ⅲ类水体比例达到71.4%，河流生态水量得到基本保障，生态环境质量实现根本好转，水生态系统功能初步恢复。2035年，松原地区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2025年用水量控制在18.43亿立方米，2035年用水量控制在29.3亿立方米。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2025年耕地保有量不低于13578.305平方千米；永久基本农田保护面积不低于10526.755平方千米；城镇开发边界控制在227.27平方千米以内。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2025年，煤炭消费总量控制在469.22万吨以内，非化石能源占能源消费总量比重达到21.1%。</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3" w:name="_Toc9946"/>
      <w:r>
        <w:rPr>
          <w:rFonts w:ascii="Times New Roman" w:hAnsi="Times New Roman" w:eastAsia="仿宋" w:cs="Times New Roman"/>
          <w:b/>
          <w:sz w:val="32"/>
          <w:szCs w:val="32"/>
          <w:highlight w:val="none"/>
        </w:rPr>
        <w:t>（八）白城市</w:t>
      </w:r>
      <w:bookmarkEnd w:id="13"/>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加快推进城镇人口密集区和环境敏感区域的危险化学品生产企业搬迁入园或转产关闭工作。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年均浓度达到25微克/立方米，优良天数比例达到95%；2035年允许波动，不能恶化（沙尘影响不计入）。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水环境质量持续改善。2025年，白城市地区水生态环境质量全面改善，劣Ⅴ类水体全面消除，地表水质量达到或优于Ⅲ类水体比例达到</w:t>
            </w:r>
            <w:r>
              <w:rPr>
                <w:rFonts w:hint="eastAsia" w:ascii="仿宋_GB2312" w:hAnsi="仿宋_GB2312" w:eastAsia="仿宋_GB2312" w:cs="仿宋_GB2312"/>
                <w:szCs w:val="21"/>
                <w:highlight w:val="none"/>
              </w:rPr>
              <w:t>66.7%</w:t>
            </w:r>
            <w:r>
              <w:rPr>
                <w:rFonts w:ascii="Times New Roman" w:hAnsi="Times New Roman" w:eastAsia="仿宋" w:cs="Times New Roman"/>
                <w:szCs w:val="21"/>
                <w:highlight w:val="none"/>
              </w:rPr>
              <w:t>，河流生态水量得到基本保障，生态环境质量实现根本好转，水生态系统功能初步恢复。2035年，白城地区水生态环境质量在满足水生态功能区要求外，河流生态水量得到根本保障，水生态系统功能全面改善。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2025年用水量控制在27.00亿立方米，2035年用水量控制在33.4亿立方米。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2025年耕地保有量不低于13653.36平方千米；永久基本农田保护面积不低于9714.40平方千米；城镇开发边界控制在225.25平方千米以内。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2025年，煤炭消费总量控制在790.56万吨以内，非化石能源占能源消费总量比重达到17.7%。</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4" w:name="_Toc4607"/>
      <w:r>
        <w:rPr>
          <w:rFonts w:ascii="Times New Roman" w:hAnsi="Times New Roman" w:eastAsia="仿宋" w:cs="Times New Roman"/>
          <w:b/>
          <w:sz w:val="32"/>
          <w:szCs w:val="32"/>
          <w:highlight w:val="none"/>
        </w:rPr>
        <w:t>（九）</w:t>
      </w:r>
      <w:bookmarkEnd w:id="14"/>
      <w:r>
        <w:rPr>
          <w:rFonts w:ascii="Times New Roman" w:hAnsi="Times New Roman" w:eastAsia="仿宋" w:cs="Times New Roman"/>
          <w:b/>
          <w:sz w:val="32"/>
          <w:szCs w:val="32"/>
          <w:highlight w:val="none"/>
        </w:rPr>
        <w:t>延边朝鲜族自治州</w:t>
      </w:r>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5"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5"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禁止在下列林地的采伐迹地种植人参：（1）自然保护区、森林公园、景区及其附近林地；（2）江河源头和两岸林地；（3）水库、湖泊周围等生态重要区位林地；（4）国道、省道、县道两侧第一层山脊内林地；    （5）坡度在25度以上的林地；（6）山脊、沟壑等林地；（7）不符合人参种植标准和要求的其他林地。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1"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大气环境质量持续改善。2025年全州PM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年均浓度达到25微克/立方米，优良天数比例达到98%；2035年允许波动，不能恶化（沙尘影响不计入）。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水环境质量持续改善。2025年，地表水国控断面达到或优于Ⅲ类水体比例达到</w:t>
            </w:r>
            <w:r>
              <w:rPr>
                <w:rFonts w:hint="eastAsia" w:ascii="仿宋_GB2312" w:hAnsi="仿宋_GB2312" w:eastAsia="仿宋_GB2312" w:cs="仿宋_GB2312"/>
                <w:szCs w:val="21"/>
                <w:highlight w:val="none"/>
              </w:rPr>
              <w:t>100%</w:t>
            </w:r>
            <w:r>
              <w:rPr>
                <w:rFonts w:ascii="Times New Roman" w:hAnsi="Times New Roman" w:eastAsia="仿宋" w:cs="Times New Roman"/>
                <w:szCs w:val="21"/>
                <w:highlight w:val="none"/>
              </w:rPr>
              <w:t>；饮用水水源地水质稳定达标。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1"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2025年用水量控制在8.82亿立方米，2035年用水量控制在12.2亿立方米。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2025年耕地保有量不低于4405.65平方千米；永久基本农田保护面积不低于2997.27平方千米；城镇开发边界控制在358.05平方千米以内。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1"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2025年，煤炭消费总量控制在569.16万吨以内，非化石能源消费比重达到17 %左右。</w:t>
            </w:r>
          </w:p>
        </w:tc>
      </w:tr>
    </w:tbl>
    <w:p>
      <w:pPr>
        <w:rPr>
          <w:rFonts w:ascii="Times New Roman" w:hAnsi="Times New Roman" w:eastAsia="仿宋" w:cs="Times New Roman"/>
          <w:highlight w:val="none"/>
        </w:rPr>
      </w:pPr>
    </w:p>
    <w:p>
      <w:pPr>
        <w:outlineLvl w:val="1"/>
        <w:rPr>
          <w:rFonts w:ascii="Times New Roman" w:hAnsi="Times New Roman" w:eastAsia="仿宋" w:cs="Times New Roman"/>
          <w:b/>
          <w:sz w:val="32"/>
          <w:szCs w:val="32"/>
          <w:highlight w:val="none"/>
        </w:rPr>
      </w:pPr>
      <w:bookmarkStart w:id="15" w:name="_Toc22693"/>
      <w:r>
        <w:rPr>
          <w:rFonts w:ascii="Times New Roman" w:hAnsi="Times New Roman" w:eastAsia="仿宋" w:cs="Times New Roman"/>
          <w:b/>
          <w:sz w:val="32"/>
          <w:szCs w:val="32"/>
          <w:highlight w:val="none"/>
        </w:rPr>
        <w:t>（十）长白山保护开发区</w:t>
      </w:r>
      <w:bookmarkEnd w:id="15"/>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6"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6"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禁止在下列林地的采伐迹地种植人参：（1）自然保护区、森林公园、景区及其附近林地；（2）江河源头和两岸林地；（3）水库、湖泊周围等生态重要区位林地；（4）国道、省道、县道两侧第一层山脊内林地；    （5）坡度在25度以上的林地；（6）山脊、沟壑等林地；（7）不符合人参种植标准和要求的其他林地。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2"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大气环境质量允许波动，不能恶化。2025年开发区PM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年均浓度达到15微克/立方米，优良天数比例达到98%（沙尘影响不计入）。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2"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水环境质量持续改善。2025年，地表水国控断面达到国家考核目标要求，达到或好于Ⅲ类水体比例100%；饮用水水源地水质稳定达标。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2"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2025年用水量控制在0.22亿立方米，2035年用水量控制在0.8亿立方米。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2"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2025年，煤炭消费总量控制在13.07万吨以内。</w:t>
            </w:r>
          </w:p>
        </w:tc>
      </w:tr>
    </w:tbl>
    <w:p>
      <w:pPr>
        <w:rPr>
          <w:rFonts w:ascii="Times New Roman" w:hAnsi="Times New Roman" w:eastAsia="仿宋" w:cs="Times New Roman"/>
          <w:highlight w:val="none"/>
        </w:rPr>
      </w:pPr>
    </w:p>
    <w:p>
      <w:pPr>
        <w:outlineLvl w:val="1"/>
        <w:rPr>
          <w:rFonts w:ascii="Times New Roman" w:hAnsi="Times New Roman" w:eastAsia="仿宋" w:cs="Times New Roman"/>
          <w:b/>
          <w:szCs w:val="21"/>
          <w:highlight w:val="none"/>
        </w:rPr>
      </w:pPr>
      <w:bookmarkStart w:id="16" w:name="_Toc18850"/>
      <w:r>
        <w:rPr>
          <w:rFonts w:ascii="Times New Roman" w:hAnsi="Times New Roman" w:eastAsia="仿宋" w:cs="Times New Roman"/>
          <w:b/>
          <w:sz w:val="32"/>
          <w:szCs w:val="32"/>
          <w:highlight w:val="none"/>
        </w:rPr>
        <w:t>（十一）梅河口市</w:t>
      </w:r>
      <w:bookmarkEnd w:id="16"/>
    </w:p>
    <w:tbl>
      <w:tblPr>
        <w:tblStyle w:val="1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82"/>
        <w:gridCol w:w="17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pPr>
              <w:spacing w:before="0" w:after="0" w:line="240" w:lineRule="auto"/>
              <w:ind w:firstLine="0"/>
              <w:jc w:val="left"/>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管控类别</w:t>
            </w:r>
          </w:p>
        </w:tc>
        <w:tc>
          <w:tcPr>
            <w:tcW w:w="4626" w:type="pct"/>
            <w:gridSpan w:val="2"/>
            <w:vAlign w:val="center"/>
          </w:tcPr>
          <w:p>
            <w:pPr>
              <w:spacing w:before="0" w:after="0" w:line="240" w:lineRule="auto"/>
              <w:ind w:firstLine="482"/>
              <w:jc w:val="center"/>
              <w:rPr>
                <w:rFonts w:ascii="Times New Roman" w:hAnsi="Times New Roman" w:eastAsia="仿宋" w:cs="Times New Roman"/>
                <w:b/>
                <w:szCs w:val="21"/>
                <w:highlight w:val="none"/>
              </w:rPr>
            </w:pPr>
            <w:r>
              <w:rPr>
                <w:rFonts w:ascii="Times New Roman" w:hAnsi="Times New Roman" w:eastAsia="仿宋" w:cs="Times New Roman"/>
                <w:b/>
                <w:szCs w:val="21"/>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74" w:type="pct"/>
            <w:vAlign w:val="center"/>
          </w:tcPr>
          <w:p>
            <w:pPr>
              <w:spacing w:before="0" w:after="0" w:line="240" w:lineRule="auto"/>
              <w:ind w:firstLine="0"/>
              <w:jc w:val="center"/>
              <w:rPr>
                <w:rFonts w:ascii="Times New Roman" w:hAnsi="Times New Roman" w:eastAsia="仿宋" w:cs="Times New Roman"/>
                <w:b/>
                <w:highlight w:val="none"/>
              </w:rPr>
            </w:pPr>
            <w:r>
              <w:rPr>
                <w:rFonts w:ascii="Times New Roman" w:hAnsi="Times New Roman" w:eastAsia="仿宋" w:cs="Times New Roman"/>
                <w:b/>
                <w:highlight w:val="none"/>
              </w:rPr>
              <w:t>空间布局约束</w:t>
            </w:r>
          </w:p>
        </w:tc>
        <w:tc>
          <w:tcPr>
            <w:tcW w:w="4626" w:type="pct"/>
            <w:gridSpan w:val="2"/>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禁止在下列林地的采伐迹地种植人参：（1）自然保护区、森林公园、景区及其附近林地；（2）江河源头和两岸林地；（3）水库、湖泊周围等生态重要区位林地；（4）国道、省道、县道两侧第一层山脊内林地；    （5）坡度在25度以上的林地；（6）山脊、沟壑等林地；（7）不符合人参种植标准和要求的其他林地。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374" w:type="pct"/>
            <w:vMerge w:val="restart"/>
            <w:vAlign w:val="center"/>
          </w:tcPr>
          <w:p>
            <w:pPr>
              <w:pStyle w:val="194"/>
              <w:spacing w:before="0" w:after="0" w:line="240" w:lineRule="auto"/>
              <w:ind w:firstLine="0"/>
              <w:jc w:val="center"/>
              <w:rPr>
                <w:rFonts w:ascii="Times New Roman"/>
                <w:b/>
                <w:color w:val="auto"/>
                <w:spacing w:val="-5"/>
                <w:sz w:val="22"/>
                <w:szCs w:val="22"/>
                <w:highlight w:val="none"/>
              </w:rPr>
            </w:pPr>
            <w:r>
              <w:rPr>
                <w:rFonts w:ascii="Times New Roman"/>
                <w:b/>
                <w:color w:val="auto"/>
                <w:spacing w:val="-5"/>
                <w:sz w:val="22"/>
                <w:szCs w:val="22"/>
                <w:highlight w:val="none"/>
              </w:rPr>
              <w:t>污染物</w:t>
            </w:r>
          </w:p>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spacing w:val="-5"/>
                <w:highlight w:val="none"/>
              </w:rPr>
              <w:t>排放管控</w:t>
            </w:r>
          </w:p>
        </w:tc>
        <w:tc>
          <w:tcPr>
            <w:tcW w:w="374" w:type="pct"/>
            <w:vMerge w:val="restar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环境</w:t>
            </w:r>
          </w:p>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质量目标</w:t>
            </w:r>
          </w:p>
        </w:tc>
        <w:tc>
          <w:tcPr>
            <w:tcW w:w="4252" w:type="pct"/>
            <w:vAlign w:val="center"/>
          </w:tcPr>
          <w:p>
            <w:pPr>
              <w:spacing w:before="0" w:after="0" w:line="240" w:lineRule="auto"/>
              <w:ind w:firstLine="0"/>
              <w:jc w:val="left"/>
              <w:rPr>
                <w:rFonts w:ascii="Times New Roman" w:hAnsi="Times New Roman" w:eastAsia="仿宋" w:cs="Times New Roman"/>
                <w:szCs w:val="21"/>
                <w:highlight w:val="none"/>
              </w:rPr>
            </w:pPr>
            <w:r>
              <w:rPr>
                <w:rFonts w:ascii="Times New Roman" w:hAnsi="Times New Roman" w:eastAsia="仿宋" w:cs="Times New Roman"/>
                <w:szCs w:val="21"/>
                <w:highlight w:val="none"/>
              </w:rPr>
              <w:t>大气环境质量持续改善。2025年全市PM</w:t>
            </w:r>
            <w:r>
              <w:rPr>
                <w:rFonts w:ascii="Times New Roman" w:hAnsi="Times New Roman" w:eastAsia="仿宋" w:cs="Times New Roman"/>
                <w:szCs w:val="21"/>
                <w:highlight w:val="none"/>
                <w:vertAlign w:val="subscript"/>
              </w:rPr>
              <w:t>2.5</w:t>
            </w:r>
            <w:r>
              <w:rPr>
                <w:rFonts w:ascii="Times New Roman" w:hAnsi="Times New Roman" w:eastAsia="仿宋" w:cs="Times New Roman"/>
                <w:szCs w:val="21"/>
                <w:highlight w:val="none"/>
              </w:rPr>
              <w:t>年均浓度达到28微克/立方米，优良天数比例达到93%；2035年继续改善</w:t>
            </w:r>
            <w:r>
              <w:rPr>
                <w:rFonts w:ascii="Times New Roman" w:hAnsi="Times New Roman" w:eastAsia="仿宋" w:cs="Times New Roman"/>
                <w:bCs/>
                <w:szCs w:val="21"/>
                <w:highlight w:val="none"/>
              </w:rPr>
              <w:t>（沙尘影响不计入）</w:t>
            </w:r>
            <w:r>
              <w:rPr>
                <w:rFonts w:ascii="Times New Roman" w:hAnsi="Times New Roman" w:eastAsia="仿宋"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4" w:type="pct"/>
            <w:vMerge w:val="continue"/>
            <w:vAlign w:val="center"/>
          </w:tcPr>
          <w:p>
            <w:pPr>
              <w:pStyle w:val="194"/>
              <w:spacing w:before="120" w:after="120" w:line="360" w:lineRule="exact"/>
              <w:ind w:firstLine="482"/>
              <w:jc w:val="center"/>
              <w:rPr>
                <w:rFonts w:ascii="Times New Roman"/>
                <w:b/>
                <w:color w:val="auto"/>
                <w:spacing w:val="-5"/>
                <w:sz w:val="22"/>
                <w:szCs w:val="22"/>
                <w:highlight w:val="none"/>
              </w:rPr>
            </w:pPr>
          </w:p>
        </w:tc>
        <w:tc>
          <w:tcPr>
            <w:tcW w:w="374" w:type="pct"/>
            <w:vMerge w:val="continue"/>
            <w:vAlign w:val="center"/>
          </w:tcPr>
          <w:p>
            <w:pPr>
              <w:spacing w:before="120" w:after="120" w:line="360" w:lineRule="exact"/>
              <w:ind w:firstLine="482"/>
              <w:rPr>
                <w:rFonts w:ascii="Times New Roman" w:hAnsi="Times New Roman" w:eastAsia="仿宋" w:cs="Times New Roman"/>
                <w:szCs w:val="21"/>
                <w:highlight w:val="none"/>
              </w:rPr>
            </w:pPr>
          </w:p>
        </w:tc>
        <w:tc>
          <w:tcPr>
            <w:tcW w:w="4252"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水环境质量持续改善。2025年，5个省控断面水质稳定达到考核目标要求，全面消除劣Ⅴ类水体；饮用水水源地水质稳定达标。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restart"/>
            <w:vAlign w:val="center"/>
          </w:tcPr>
          <w:p>
            <w:pPr>
              <w:spacing w:before="0" w:after="0" w:line="240" w:lineRule="auto"/>
              <w:ind w:firstLine="0"/>
              <w:jc w:val="center"/>
              <w:rPr>
                <w:rFonts w:ascii="Times New Roman" w:hAnsi="Times New Roman" w:eastAsia="仿宋" w:cs="Times New Roman"/>
                <w:highlight w:val="none"/>
              </w:rPr>
            </w:pPr>
            <w:r>
              <w:rPr>
                <w:rFonts w:ascii="Times New Roman" w:hAnsi="Times New Roman" w:eastAsia="仿宋" w:cs="Times New Roman"/>
                <w:b/>
                <w:highlight w:val="none"/>
              </w:rPr>
              <w:t>资源利用要求</w:t>
            </w:r>
          </w:p>
        </w:tc>
        <w:tc>
          <w:tcPr>
            <w:tcW w:w="374" w:type="pct"/>
            <w:shd w:val="clear" w:color="auto" w:fill="auto"/>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水资源</w:t>
            </w:r>
          </w:p>
        </w:tc>
        <w:tc>
          <w:tcPr>
            <w:tcW w:w="4252" w:type="pct"/>
            <w:shd w:val="clear" w:color="auto" w:fill="auto"/>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2025年用水量控制在4.26亿立方米，2035年用水量控制在5.2亿立方米。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土地资源</w:t>
            </w:r>
          </w:p>
        </w:tc>
        <w:tc>
          <w:tcPr>
            <w:tcW w:w="4252"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2025年耕地保有量不低于1255.13平方千米；永久基本农田保护面积不低于909.49平方千米；城镇开发边界控制在76.08平方千米以内。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vMerge w:val="continue"/>
            <w:vAlign w:val="center"/>
          </w:tcPr>
          <w:p>
            <w:pPr>
              <w:spacing w:before="0" w:after="0" w:line="240" w:lineRule="auto"/>
              <w:ind w:firstLine="482"/>
              <w:rPr>
                <w:rFonts w:ascii="Times New Roman" w:hAnsi="Times New Roman" w:eastAsia="仿宋" w:cs="Times New Roman"/>
                <w:szCs w:val="21"/>
                <w:highlight w:val="none"/>
              </w:rPr>
            </w:pPr>
          </w:p>
        </w:tc>
        <w:tc>
          <w:tcPr>
            <w:tcW w:w="374" w:type="pct"/>
            <w:vAlign w:val="center"/>
          </w:tcPr>
          <w:p>
            <w:pPr>
              <w:spacing w:before="0" w:after="0" w:line="240" w:lineRule="auto"/>
              <w:ind w:firstLine="0"/>
              <w:jc w:val="center"/>
              <w:rPr>
                <w:rFonts w:ascii="Times New Roman" w:hAnsi="Times New Roman" w:eastAsia="仿宋" w:cs="Times New Roman"/>
                <w:szCs w:val="21"/>
                <w:highlight w:val="none"/>
              </w:rPr>
            </w:pPr>
            <w:r>
              <w:rPr>
                <w:rFonts w:ascii="Times New Roman" w:hAnsi="Times New Roman" w:eastAsia="仿宋" w:cs="Times New Roman"/>
                <w:szCs w:val="21"/>
                <w:highlight w:val="none"/>
              </w:rPr>
              <w:t>能源</w:t>
            </w:r>
          </w:p>
        </w:tc>
        <w:tc>
          <w:tcPr>
            <w:tcW w:w="4252" w:type="pct"/>
            <w:vAlign w:val="center"/>
          </w:tcPr>
          <w:p>
            <w:pPr>
              <w:spacing w:before="0" w:after="0" w:line="240" w:lineRule="auto"/>
              <w:ind w:firstLine="0"/>
              <w:rPr>
                <w:rFonts w:ascii="Times New Roman" w:hAnsi="Times New Roman" w:eastAsia="仿宋" w:cs="Times New Roman"/>
                <w:szCs w:val="21"/>
                <w:highlight w:val="none"/>
              </w:rPr>
            </w:pPr>
            <w:r>
              <w:rPr>
                <w:rFonts w:ascii="Times New Roman" w:hAnsi="Times New Roman" w:eastAsia="仿宋" w:cs="Times New Roman"/>
                <w:szCs w:val="21"/>
                <w:highlight w:val="none"/>
              </w:rPr>
              <w:t>2025年，煤炭消费总量控制在164.97万吨以内，煤炭消费总量比例降低到55%以下，非化石能源占能源消费总量稳步提高。</w:t>
            </w:r>
          </w:p>
        </w:tc>
      </w:tr>
    </w:tbl>
    <w:p>
      <w:pPr>
        <w:rPr>
          <w:rFonts w:ascii="Times New Roman" w:hAnsi="Times New Roman" w:eastAsia="仿宋" w:cs="Times New Roman"/>
          <w:color w:val="FF0000"/>
          <w:highlight w:val="none"/>
        </w:rPr>
      </w:pPr>
    </w:p>
    <w:p>
      <w:pPr>
        <w:pStyle w:val="2"/>
        <w:spacing w:before="0" w:after="0" w:line="240" w:lineRule="auto"/>
        <w:rPr>
          <w:rFonts w:ascii="Times New Roman" w:hAnsi="Times New Roman" w:eastAsia="仿宋" w:cs="Times New Roman"/>
          <w:color w:val="FF0000"/>
          <w:sz w:val="32"/>
          <w:szCs w:val="32"/>
          <w:highlight w:val="none"/>
        </w:rPr>
        <w:sectPr>
          <w:pgSz w:w="23811" w:h="16838" w:orient="landscape"/>
          <w:pgMar w:top="1797" w:right="1440" w:bottom="1797" w:left="1440" w:header="851" w:footer="992" w:gutter="0"/>
          <w:pgNumType w:start="1"/>
          <w:cols w:space="425" w:num="1"/>
          <w:docGrid w:type="linesAndChars" w:linePitch="312" w:charSpace="0"/>
        </w:sectPr>
      </w:pPr>
    </w:p>
    <w:p>
      <w:pPr>
        <w:pStyle w:val="2"/>
        <w:spacing w:before="0" w:after="0" w:line="240" w:lineRule="auto"/>
        <w:rPr>
          <w:rFonts w:ascii="Times New Roman" w:hAnsi="Times New Roman" w:eastAsia="仿宋" w:cs="Times New Roman"/>
          <w:sz w:val="32"/>
          <w:szCs w:val="32"/>
          <w:highlight w:val="none"/>
        </w:rPr>
      </w:pPr>
      <w:bookmarkStart w:id="17" w:name="_Toc20559"/>
      <w:r>
        <w:rPr>
          <w:rFonts w:ascii="Times New Roman" w:hAnsi="Times New Roman" w:eastAsia="仿宋" w:cs="Times New Roman"/>
          <w:sz w:val="32"/>
          <w:szCs w:val="32"/>
          <w:highlight w:val="none"/>
        </w:rPr>
        <w:t>四、各县（市、区）管控单元准入要求</w:t>
      </w:r>
      <w:bookmarkEnd w:id="17"/>
    </w:p>
    <w:p>
      <w:pPr>
        <w:keepNext/>
        <w:keepLines/>
        <w:outlineLvl w:val="1"/>
        <w:rPr>
          <w:rFonts w:ascii="Times New Roman" w:hAnsi="Times New Roman" w:eastAsia="仿宋" w:cs="Times New Roman"/>
          <w:b/>
          <w:bCs/>
          <w:sz w:val="32"/>
          <w:szCs w:val="32"/>
          <w:highlight w:val="none"/>
        </w:rPr>
      </w:pPr>
      <w:bookmarkStart w:id="18" w:name="_Toc30226"/>
      <w:bookmarkStart w:id="19" w:name="_Toc27572319"/>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一</w:t>
      </w:r>
      <w:r>
        <w:rPr>
          <w:rFonts w:ascii="Times New Roman" w:hAnsi="Times New Roman" w:eastAsia="仿宋" w:cs="Times New Roman"/>
          <w:b/>
          <w:bCs/>
          <w:sz w:val="32"/>
          <w:szCs w:val="32"/>
          <w:highlight w:val="none"/>
        </w:rPr>
        <w:t>）长春市南关区生态环境准入清单</w:t>
      </w:r>
      <w:bookmarkEnd w:id="18"/>
    </w:p>
    <w:p>
      <w:pPr>
        <w:jc w:val="center"/>
        <w:rPr>
          <w:rFonts w:ascii="Times New Roman" w:hAnsi="Times New Roman" w:eastAsia="仿宋" w:cs="Times New Roman"/>
          <w:b/>
          <w:highlight w:val="none"/>
        </w:rPr>
      </w:pPr>
      <w:bookmarkStart w:id="20" w:name="_Toc27572335"/>
      <w:r>
        <w:rPr>
          <w:rFonts w:ascii="Times New Roman" w:hAnsi="Times New Roman" w:eastAsia="仿宋" w:cs="Times New Roman"/>
          <w:b/>
          <w:highlight w:val="none"/>
        </w:rPr>
        <w:t>表4-6-1长春市南关区区域特征研判</w:t>
      </w:r>
      <w:bookmarkEnd w:id="20"/>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1.《吉林省主体功能区规划》中的国家级重点开发区域——长吉图经济区。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 位于吉林省中部，伊通河上游，省会长春市东南部，是长春市的南大门。现辖12街1乡，1个省级开发区（南部都市经济开发区），全员人口48.9万人，面积80平方公里。</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以传统服务业为依托，以现代服务业为核心，建设集金融商务中心、行政办公中心、文化体育中心、休闲娱乐中心等功能于一体的现代化城市宜居区。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重点发展商务商贸、现代金融、文化创意、健康服务、总部经济、旅游休闲等高端服务业，打造长春中部和南部现代服务业中心区。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水土流失严重</w:t>
            </w:r>
            <w:r>
              <w:rPr>
                <w:rFonts w:hint="eastAsia" w:ascii="Times New Roman" w:hAnsi="Times New Roman" w:eastAsia="仿宋" w:cs="Times New Roman"/>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1.重点保护</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净月潭国家森林公园、新立城水库、长春净月潭省级湿地公园、吉林八大部－净月潭国家级风景名胜区、国家级公益林</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2.重点解决问题</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（1）确保人类开发活动不挤占耕地。</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（2）减少生产建设活动对植被、地表的破坏。</w:t>
            </w:r>
          </w:p>
        </w:tc>
      </w:tr>
    </w:tbl>
    <w:p>
      <w:pPr>
        <w:pStyle w:val="18"/>
        <w:rPr>
          <w:rFonts w:ascii="Times New Roman" w:hAnsi="Times New Roman" w:eastAsia="仿宋" w:cs="Times New Roman"/>
          <w:b/>
          <w:highlight w:val="none"/>
        </w:rPr>
      </w:pPr>
    </w:p>
    <w:p>
      <w:pPr>
        <w:jc w:val="center"/>
        <w:rPr>
          <w:rFonts w:ascii="Times New Roman" w:hAnsi="Times New Roman" w:eastAsia="仿宋" w:cs="Times New Roman"/>
          <w:b/>
          <w:highlight w:val="none"/>
        </w:rPr>
      </w:pPr>
      <w:bookmarkStart w:id="21" w:name="_Toc27572336"/>
      <w:r>
        <w:rPr>
          <w:rFonts w:ascii="Times New Roman" w:hAnsi="Times New Roman" w:eastAsia="仿宋" w:cs="Times New Roman"/>
          <w:b/>
          <w:highlight w:val="none"/>
        </w:rPr>
        <w:t>表4-6-2长春市南关区生态环境准入清单</w:t>
      </w:r>
      <w:bookmarkEnd w:id="21"/>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08"/>
        <w:gridCol w:w="2047"/>
        <w:gridCol w:w="1667"/>
        <w:gridCol w:w="1726"/>
        <w:gridCol w:w="9666"/>
        <w:gridCol w:w="41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484"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394"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40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8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76"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ZH22010210001</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吉林伊通火山群国家级自然保护区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2生态保护红线内自然保护区执行《中华人民共和国自然保护区条例》相关要求。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生态保护红线、大气环境优先保护区、水环境优先保护区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ZH22010210002</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吉林净月潭国家森林公园</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2生态保护红线内国家级森林公园执行《国家级自然公园管理办法（试行）》相关要求。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3生态保护红线内风景名胜区执行《风景名胜区条例》相关要求。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生态保护红线、大气环境优先保护区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森林公园、风景名胜区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ZH22010210003</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吉林八大部－净月潭国家级风景名胜区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2风景名胜区执行《风景名胜区条例》相关要求。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一般生态空间、大气环境优先保护区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ZH22010210004</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吉林长春新立湖国家湿地公园</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2生态保护红线内湿地公园执行《中华人民共和国湿地保护法》《湿地保护管理规定》</w:t>
            </w:r>
            <w:r>
              <w:rPr>
                <w:rFonts w:hint="eastAsia" w:ascii="Times New Roman" w:hAnsi="Times New Roman" w:eastAsia="仿宋" w:cs="Times New Roman"/>
                <w:sz w:val="20"/>
                <w:szCs w:val="20"/>
                <w:highlight w:val="none"/>
              </w:rPr>
              <w:t>《国家级自然公园管理办法（试行）》</w:t>
            </w:r>
            <w:r>
              <w:rPr>
                <w:rFonts w:ascii="Times New Roman" w:hAnsi="Times New Roman" w:eastAsia="仿宋" w:cs="Times New Roman"/>
                <w:sz w:val="20"/>
                <w:szCs w:val="20"/>
                <w:highlight w:val="none"/>
              </w:rPr>
              <w:t>《吉林省湿地保护条例》《关于特别是作为水禽栖息地的国际重要湿地公约》相关要求。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bCs/>
                <w:kern w:val="0"/>
                <w:sz w:val="20"/>
                <w:szCs w:val="20"/>
                <w:highlight w:val="none"/>
              </w:rPr>
              <w:t>湿地公园、饮用水水源保护区、水土保持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ZH22010210005</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长春市新立城水库饮用水水源保护区（净月区）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ZH22010210006</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南关区国家级公益林</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2国家级公益林执行</w:t>
            </w:r>
            <w:r>
              <w:rPr>
                <w:rFonts w:hint="eastAsia" w:ascii="Times New Roman" w:hAnsi="Times New Roman" w:eastAsia="仿宋" w:cs="Times New Roman"/>
                <w:sz w:val="20"/>
                <w:szCs w:val="20"/>
                <w:highlight w:val="none"/>
              </w:rPr>
              <w:t>《国家级公益林管理办法》（2017年修订）</w:t>
            </w:r>
            <w:r>
              <w:rPr>
                <w:rFonts w:ascii="Times New Roman" w:hAnsi="Times New Roman" w:eastAsia="仿宋" w:cs="Times New Roman"/>
                <w:sz w:val="20"/>
                <w:szCs w:val="20"/>
                <w:highlight w:val="none"/>
              </w:rPr>
              <w:t>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国家级公益林、水土保持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ZH22010210007</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南关区松嫩平原水土保持功能生态保护红线</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ZH22010210008</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南关区水土保持功能生态保护红线</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2生态保护红线内风景名胜区执行《风景名胜区条例》相关要求。</w:t>
            </w:r>
          </w:p>
          <w:p>
            <w:pPr>
              <w:jc w:val="left"/>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3</w:t>
            </w:r>
            <w:r>
              <w:rPr>
                <w:rFonts w:ascii="Times New Roman" w:hAnsi="Times New Roman" w:eastAsia="仿宋" w:cs="Times New Roman"/>
                <w:sz w:val="20"/>
                <w:szCs w:val="20"/>
                <w:highlight w:val="none"/>
              </w:rPr>
              <w:t>生态保护红线内饮用水水源保护区执行《中华人民共和国水污染防治法》《饮用水水源保护区污染防治管理规定》《吉林省城镇饮用水水源保护条例》相关要求。</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生态保护红线、大气环境优先保护区、水环境优先保护区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水土保持、风景名胜区</w:t>
            </w:r>
            <w:r>
              <w:rPr>
                <w:rFonts w:hint="eastAsia" w:ascii="Times New Roman" w:hAnsi="Times New Roman" w:eastAsia="仿宋" w:cs="Times New Roman"/>
                <w:sz w:val="20"/>
                <w:szCs w:val="20"/>
                <w:highlight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ZH22010220001</w:t>
            </w:r>
          </w:p>
        </w:tc>
        <w:tc>
          <w:tcPr>
            <w:tcW w:w="48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长春高新技术产业开发区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1.禁止《产业结构调整指导目录》中的“淘汰类”项目；严格限制《产业结构调整指导目录》中的“限制类”项目入区。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2.禁止《外商投资产业指导目录》中禁止外商投资的项目；严格限制《外商投资产业指导目录》中限制外商投资的项目入区。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3.禁止不符合开发区总体规划或产业规划项目入区。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4.禁止新建水环境污染严重的项目；严格限制涉重企业入区，新增的重金属总量须征得相关主管部门批准后，方可实施。</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创新经济发展示范区、新一轮东北振兴重要引擎、体制机制改革先行区</w:t>
            </w:r>
          </w:p>
          <w:p>
            <w:pPr>
              <w:jc w:val="left"/>
              <w:rPr>
                <w:rFonts w:ascii="Times New Roman" w:hAnsi="Times New Roman" w:eastAsia="仿宋" w:cs="Times New Roman"/>
                <w:b/>
                <w:bCs/>
                <w:kern w:val="0"/>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光电子与信息产业、汽车及零部件产业、动漫及相关产业、生物与医药产业、文化创意、信息软件及检测服务业、电气机械和设备制造业、软件及服务外包产业、先进装备制造业、新能源产业、新材料产业</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ZH22010220002</w:t>
            </w:r>
          </w:p>
        </w:tc>
        <w:tc>
          <w:tcPr>
            <w:tcW w:w="48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长春净月高新技术产业开发区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1.禁止《产业结构调整指导目录》中的“淘汰类”项目；严格限制《产业结构调整指导目录》中的“限制类”项目入区。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2.禁止《外商投资产业指导目录》中禁止外商投资的项目；严格限制《外商投资产业指导目录》中限制外商投资的项目入区。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3.禁止不符合开发区总体规划或产业规划项目入区。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4.禁止新建水环境污染严重的项目；严格限制涉重企业入区，新增的重金属总量须征得相关主管部门批准后，方可实施。</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创新经济发展示范区、新一轮东北振兴重要引擎、体制机制改革先行区</w:t>
            </w:r>
          </w:p>
          <w:p>
            <w:pPr>
              <w:jc w:val="left"/>
              <w:rPr>
                <w:rFonts w:ascii="Times New Roman" w:hAnsi="Times New Roman" w:eastAsia="仿宋" w:cs="Times New Roman"/>
                <w:b/>
                <w:bCs/>
                <w:kern w:val="0"/>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光电子与信息产业、汽车及零部件产业、新能源材料、动漫及相关产业、生物与医药产业、文化创意、信息软件及检测服务业、电气机械和设备制造业、软件及服务外包产业、先进装备制造业。</w:t>
            </w:r>
          </w:p>
          <w:p>
            <w:pPr>
              <w:jc w:val="left"/>
              <w:rPr>
                <w:rFonts w:ascii="Times New Roman" w:hAnsi="Times New Roman" w:eastAsia="仿宋" w:cs="Times New Roman"/>
                <w:b/>
                <w:color w:val="FF0000"/>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3严格落实规划环评及其批复文件制定的环境风险防范措施。</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ZH22010220003</w:t>
            </w:r>
          </w:p>
        </w:tc>
        <w:tc>
          <w:tcPr>
            <w:tcW w:w="484"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长春南部都市经济开发区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2严格控制高耗水、高污染行业发展。</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大气环境高排放重点管控区、水环境工业污染重点管控区、高污染燃料禁燃区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开发区以现代服务业为特色，集中优势资源打造“大商务、大商业、大文化”为特征的三大主导产业体系，建设服务全市、全省乃至全东北、东北亚的现代服务业中心区。</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金融业、商务服务业、文化创意产业、现代商业。</w:t>
            </w:r>
          </w:p>
          <w:p>
            <w:pPr>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土壤污染防治行动计划》《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7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ZH22010220004</w:t>
            </w:r>
          </w:p>
        </w:tc>
        <w:tc>
          <w:tcPr>
            <w:tcW w:w="484"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南关区城镇开发边界</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76"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大气环境受体敏感重点管控区、水环境城镇生活污染重点管控区、建设用地污染风险重点管控区、高污染燃料禁燃区</w:t>
            </w:r>
          </w:p>
          <w:p>
            <w:pPr>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发展定位：</w:t>
            </w:r>
            <w:r>
              <w:rPr>
                <w:rFonts w:ascii="Times New Roman" w:hAnsi="Times New Roman" w:eastAsia="仿宋" w:cs="Times New Roman"/>
                <w:sz w:val="20"/>
                <w:szCs w:val="20"/>
                <w:highlight w:val="none"/>
              </w:rPr>
              <w:t>重点发展现代服务业，提升城市职能；高标准建设商业服务设施，打造南部新城及城市南部新中心，控制流绿空间，形成长春城市新形象；疏散北部城区人口，保护传统街区风貌；加强伊通河沿岸生态绿化的保护与建设。</w:t>
            </w:r>
          </w:p>
          <w:p>
            <w:pPr>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ZH22010220005</w:t>
            </w:r>
          </w:p>
        </w:tc>
        <w:tc>
          <w:tcPr>
            <w:tcW w:w="484"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南关区大气环境高排放重点管控区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推进重点行业污染治理升级改造。</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ZH22010220006</w:t>
            </w:r>
          </w:p>
        </w:tc>
        <w:tc>
          <w:tcPr>
            <w:tcW w:w="48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南关区大气环境布局敏感重点管控区</w:t>
            </w:r>
          </w:p>
        </w:tc>
        <w:tc>
          <w:tcPr>
            <w:tcW w:w="39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除在安全或者产业布局等方面有特殊要求的项目外，宜避免大规模排放大气污染物的项目布局建设。</w:t>
            </w:r>
          </w:p>
        </w:tc>
        <w:tc>
          <w:tcPr>
            <w:tcW w:w="97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大气环境布局敏感重点管控区、水环境农业污染重点管控区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1深入推进秸秆禁烧管控，实行秸秆全域禁烧。加快淘汰老旧车辆；强化道路扬尘控制。</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2实施化肥农药减量增效行动和农膜回收行动；采取积极措施，推进养殖业大气氨减排。</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3规模化畜禽养殖场（小区）应当保证畜禽粪污无害化处理和资源化利用设施的正常运转。散养密集区要实行畜禽粪便污水分户收集、集中处理利用。</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9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7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1"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ZH22010230001</w:t>
            </w:r>
          </w:p>
        </w:tc>
        <w:tc>
          <w:tcPr>
            <w:tcW w:w="484"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南关区一般管控区</w:t>
            </w:r>
          </w:p>
        </w:tc>
        <w:tc>
          <w:tcPr>
            <w:tcW w:w="39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3-一般管控</w:t>
            </w:r>
          </w:p>
        </w:tc>
        <w:tc>
          <w:tcPr>
            <w:tcW w:w="40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污染物排放管控</w:t>
            </w:r>
          </w:p>
        </w:tc>
        <w:tc>
          <w:tcPr>
            <w:tcW w:w="22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7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w:t>
            </w:r>
          </w:p>
        </w:tc>
      </w:tr>
    </w:tbl>
    <w:p>
      <w:pPr>
        <w:jc w:val="center"/>
        <w:rPr>
          <w:rFonts w:ascii="Times New Roman" w:hAnsi="Times New Roman" w:eastAsia="仿宋" w:cs="Times New Roman"/>
          <w:color w:val="FF0000"/>
          <w:highlight w:val="none"/>
        </w:rPr>
      </w:pPr>
    </w:p>
    <w:p>
      <w:pPr>
        <w:keepNext/>
        <w:keepLines/>
        <w:outlineLvl w:val="1"/>
        <w:rPr>
          <w:rFonts w:ascii="Times New Roman" w:hAnsi="Times New Roman" w:eastAsia="仿宋" w:cs="Times New Roman"/>
          <w:b/>
          <w:bCs/>
          <w:sz w:val="32"/>
          <w:szCs w:val="32"/>
          <w:highlight w:val="none"/>
        </w:rPr>
      </w:pPr>
      <w:bookmarkStart w:id="22" w:name="_Toc27572331"/>
      <w:bookmarkStart w:id="23" w:name="_Toc17242"/>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二</w:t>
      </w:r>
      <w:r>
        <w:rPr>
          <w:rFonts w:ascii="Times New Roman" w:hAnsi="Times New Roman" w:eastAsia="仿宋" w:cs="Times New Roman"/>
          <w:b/>
          <w:bCs/>
          <w:sz w:val="32"/>
          <w:szCs w:val="32"/>
          <w:highlight w:val="none"/>
        </w:rPr>
        <w:t>）长春市宽城区</w:t>
      </w:r>
      <w:bookmarkEnd w:id="22"/>
      <w:r>
        <w:rPr>
          <w:rFonts w:ascii="Times New Roman" w:hAnsi="Times New Roman" w:eastAsia="仿宋" w:cs="Times New Roman"/>
          <w:b/>
          <w:bCs/>
          <w:sz w:val="32"/>
          <w:szCs w:val="32"/>
          <w:highlight w:val="none"/>
        </w:rPr>
        <w:t>生态环境准入清单</w:t>
      </w:r>
      <w:bookmarkEnd w:id="23"/>
    </w:p>
    <w:p>
      <w:pPr>
        <w:jc w:val="center"/>
        <w:rPr>
          <w:rFonts w:ascii="Times New Roman" w:hAnsi="Times New Roman" w:eastAsia="仿宋" w:cs="Times New Roman"/>
          <w:b/>
          <w:highlight w:val="none"/>
        </w:rPr>
      </w:pPr>
      <w:bookmarkStart w:id="24" w:name="_Toc27572332"/>
      <w:r>
        <w:rPr>
          <w:rFonts w:ascii="Times New Roman" w:hAnsi="Times New Roman" w:eastAsia="仿宋" w:cs="Times New Roman"/>
          <w:b/>
          <w:highlight w:val="none"/>
        </w:rPr>
        <w:t>表4-5-1长春市宽城区区域特征研判</w:t>
      </w:r>
      <w:bookmarkEnd w:id="24"/>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1.《吉林省主体功能区规划》中的国家级重点开发区域——长吉图经济区。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 位于吉林省中部，伊通河上游，省会长春市北部，总面积900.48平方公里。辖10个街道1个镇。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加快以北人民大街为轴心的现代服务业产业带建设；加快宽城经济开发区和装备制造园区对制造业、农产品加工业、现代服务业和物流业的集群集聚步伐，提升两个省级开发区对宽城经济的支撑作用。</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建设铁南特色商业旅游板块、站北商贸商务板块、机车厂原址远东文化创意板块、行政中心区现代服务业板块、北部科技服务板块、城市配送物流板块、现代制造业板块、智能装备制造板块、生产资料物流板块、轨道装备制造板块。通过几年的努力，把宽城建设成为产业结构更优、发展动力更足、经济实力更强的长春北部核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hint="eastAsia" w:ascii="Times New Roman" w:hAnsi="Times New Roman" w:eastAsia="仿宋" w:cs="Times New Roman"/>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1.重点保护</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吉林八大部－净月潭国家级风景名胜区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2.重点解决问题</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（1）确保人类开发活动不挤占耕地。</w:t>
            </w:r>
          </w:p>
        </w:tc>
      </w:tr>
    </w:tbl>
    <w:p>
      <w:pPr>
        <w:pStyle w:val="18"/>
        <w:rPr>
          <w:rFonts w:ascii="Times New Roman" w:hAnsi="Times New Roman" w:eastAsia="仿宋" w:cs="Times New Roman"/>
          <w:b/>
          <w:highlight w:val="none"/>
        </w:rPr>
      </w:pPr>
    </w:p>
    <w:p>
      <w:pPr>
        <w:jc w:val="center"/>
        <w:rPr>
          <w:rFonts w:ascii="Times New Roman" w:hAnsi="Times New Roman" w:eastAsia="仿宋" w:cs="Times New Roman"/>
          <w:b/>
          <w:highlight w:val="none"/>
        </w:rPr>
      </w:pPr>
      <w:bookmarkStart w:id="25" w:name="_Toc27572333"/>
      <w:r>
        <w:rPr>
          <w:rFonts w:ascii="Times New Roman" w:hAnsi="Times New Roman" w:eastAsia="仿宋" w:cs="Times New Roman"/>
          <w:b/>
          <w:highlight w:val="none"/>
        </w:rPr>
        <w:t>表4-5-2长春市宽城区生态环境准入清单</w:t>
      </w:r>
      <w:bookmarkEnd w:id="25"/>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87"/>
        <w:gridCol w:w="2102"/>
        <w:gridCol w:w="1726"/>
        <w:gridCol w:w="1722"/>
        <w:gridCol w:w="9653"/>
        <w:gridCol w:w="40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497"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408"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40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8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58"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ZH22010310001</w:t>
            </w:r>
          </w:p>
        </w:tc>
        <w:tc>
          <w:tcPr>
            <w:tcW w:w="497"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吉林八大部－净月潭国家级风景名胜区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sz w:val="20"/>
                <w:szCs w:val="20"/>
                <w:highlight w:val="none"/>
              </w:rPr>
            </w:pPr>
            <w:r>
              <w:rPr>
                <w:rFonts w:ascii="Times New Roman" w:hAnsi="Times New Roman" w:eastAsia="仿宋" w:cs="Times New Roman"/>
                <w:bCs/>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bCs/>
                <w:sz w:val="20"/>
                <w:szCs w:val="20"/>
                <w:highlight w:val="none"/>
              </w:rPr>
            </w:pPr>
            <w:r>
              <w:rPr>
                <w:rFonts w:ascii="Times New Roman" w:hAnsi="Times New Roman" w:eastAsia="仿宋" w:cs="Times New Roman"/>
                <w:bCs/>
                <w:sz w:val="20"/>
                <w:szCs w:val="20"/>
                <w:highlight w:val="none"/>
              </w:rPr>
              <w:t>2风景名胜区执行《风景名胜区条例》相关要求。</w:t>
            </w:r>
          </w:p>
        </w:tc>
        <w:tc>
          <w:tcPr>
            <w:tcW w:w="958"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一般生态空间、大气环境优先保护区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ZH22010320001</w:t>
            </w:r>
          </w:p>
        </w:tc>
        <w:tc>
          <w:tcPr>
            <w:tcW w:w="497"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长春宽城经济开发区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Cs/>
                <w:kern w:val="0"/>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autoSpaceDE w:val="0"/>
              <w:autoSpaceDN w:val="0"/>
              <w:adjustRightInd w:val="0"/>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1禁止专业电镀、化学农药制造、制革工业产业入区。</w:t>
            </w:r>
          </w:p>
          <w:p>
            <w:pPr>
              <w:autoSpaceDE w:val="0"/>
              <w:autoSpaceDN w:val="0"/>
              <w:adjustRightInd w:val="0"/>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2禁止其它违反国家法律、法规，属于淘汰落后的生产工艺技术的产业。</w:t>
            </w:r>
          </w:p>
          <w:p>
            <w:pPr>
              <w:autoSpaceDE w:val="0"/>
              <w:autoSpaceDN w:val="0"/>
              <w:adjustRightInd w:val="0"/>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3禁止不符合经济规模要求，经济效益差，污染严重的小钢铁、小有色金属、小铁合金、小化工、小炼油、小建材、小造纸、小制革、小电镀等“十五小”企业及“新五小”企业。</w:t>
            </w:r>
          </w:p>
        </w:tc>
        <w:tc>
          <w:tcPr>
            <w:tcW w:w="958"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以现代物流集聚区和先进制造业集聚区为主导的综合性产业园区。全国重要的交通运输设备制造、石化、生物、光电子和农产品加工基地，区域性高新技术产业基地。</w:t>
            </w:r>
          </w:p>
          <w:p>
            <w:pPr>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以轨道交通产业为引领，重点发展装备制造产业、汽车及汽车零部件制造产业、金属制品制造产业、非金属矿物制品制造产业、橡胶和塑料制品制造产业、通用设备制造、专业设备制造、仪器仪表制造、电镀等金属表面处理产业、建材产业、农副食品加工产业、食品加工产业，废弃资源综合利用、生态保护和环境治理、有色金属冶炼及压延加工、汽车拆解等循环经济产业、新材料制造业、电子信息产业、科学研究和技术服务业、商住综合服务产业、居民服务、修理和其他服务业、批发和零售业、教育、卫生、娱乐业、仓储物流产业、农业等。</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污染地块土壤环境管理办法（试行）》《土壤污染防治行动计划》《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4</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3完成吉林省下达的产能置换要求。各产业执行对应的清洁生产标准。</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46"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ZH22010320002</w:t>
            </w:r>
          </w:p>
        </w:tc>
        <w:tc>
          <w:tcPr>
            <w:tcW w:w="497"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长春北湖科技开发区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2禁止在化工园区外新建、扩建化工项目，未纳入国家《石化产业规划布局方案》的新建炼化项目一律不得建设。</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禁止含双对氯苯基三氯乙烷、三丁基锡、全氟辛酸及其盐类、全氟辛烷磺酸、红丹等有害物质的涂料；含苯类、苯酚、苯甲醛和二（三）氯甲烷的脱漆剂，立德粉，聚氯乙烯建筑防水接缝材料(焦油型)的化工材料产业。</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4禁止新建高毒、高残留以及对环境影响大的农药原药生产装置产业。</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5禁止造成恶臭污染的橡胶和塑料制品业及重金属污染的铅蓄电池行业。</w:t>
            </w:r>
          </w:p>
        </w:tc>
        <w:tc>
          <w:tcPr>
            <w:tcW w:w="958"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sz w:val="20"/>
                <w:szCs w:val="20"/>
                <w:highlight w:val="none"/>
              </w:rPr>
            </w:pPr>
            <w:r>
              <w:rPr>
                <w:rFonts w:ascii="Times New Roman" w:hAnsi="Times New Roman" w:eastAsia="仿宋" w:cs="Times New Roman"/>
                <w:bCs/>
                <w:kern w:val="0"/>
                <w:sz w:val="20"/>
                <w:szCs w:val="20"/>
                <w:highlight w:val="none"/>
              </w:rPr>
              <w:t>依据：基于“三线”研究成果，结合《污染地块土壤环境管理办法（试行）》《土壤污染防治行动计划》《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4</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3完成吉林省下达的产能置换要求。各产业执行对应的清洁生产标准。</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ZH22010320003</w:t>
            </w:r>
          </w:p>
        </w:tc>
        <w:tc>
          <w:tcPr>
            <w:tcW w:w="497"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中韩（长春）国际合作示范区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2严格控制高耗水、高污染行业发展。</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大气环境高排放重点管控区、水环境工业污染重点管控区、高污染燃料禁燃区</w:t>
            </w:r>
          </w:p>
          <w:p>
            <w:pPr>
              <w:widowControl/>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高端装备和智能制造、信息技术、医药、健康食品、特色服务、氢能产业、新能源电池、秸秆产业</w:t>
            </w:r>
          </w:p>
          <w:p>
            <w:pPr>
              <w:jc w:val="left"/>
              <w:rPr>
                <w:rFonts w:ascii="Times New Roman" w:hAnsi="Times New Roman" w:eastAsia="仿宋" w:cs="Times New Roman"/>
                <w:b/>
                <w:color w:val="FF0000"/>
                <w:kern w:val="0"/>
                <w:sz w:val="20"/>
                <w:szCs w:val="20"/>
                <w:highlight w:val="none"/>
              </w:rPr>
            </w:pPr>
            <w:r>
              <w:rPr>
                <w:rFonts w:ascii="Times New Roman" w:hAnsi="Times New Roman" w:eastAsia="仿宋" w:cs="Times New Roman"/>
                <w:b/>
                <w:kern w:val="0"/>
                <w:sz w:val="20"/>
                <w:szCs w:val="20"/>
                <w:highlight w:val="none"/>
              </w:rPr>
              <w:t>依据：</w:t>
            </w:r>
            <w:r>
              <w:rPr>
                <w:rFonts w:ascii="Times New Roman" w:hAnsi="Times New Roman" w:eastAsia="仿宋" w:cs="Times New Roman"/>
                <w:bCs/>
                <w:kern w:val="0"/>
                <w:sz w:val="20"/>
                <w:szCs w:val="20"/>
                <w:highlight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3完成吉林省下达的产能置换要求。各产业执行对应的清洁生产标准。</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ZH22010320004</w:t>
            </w:r>
          </w:p>
        </w:tc>
        <w:tc>
          <w:tcPr>
            <w:tcW w:w="497"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宽城区城镇开发边界</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大气环境受体敏感重点管控区、水环境城镇生活污染重点管控区、建设用地污染风险重点管控区、高污染燃料禁燃区</w:t>
            </w:r>
          </w:p>
          <w:p>
            <w:pPr>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发展定位：</w:t>
            </w:r>
            <w:r>
              <w:rPr>
                <w:rFonts w:ascii="Times New Roman" w:hAnsi="Times New Roman" w:eastAsia="仿宋" w:cs="Times New Roman"/>
                <w:sz w:val="20"/>
                <w:szCs w:val="20"/>
                <w:highlight w:val="none"/>
              </w:rPr>
              <w:t>加快铁北老工业基地改造及“退二进三”步伐，调整区域城市功能结构；积极建设环铁交通枢纽及商品流通中心。</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ZH22010320005</w:t>
            </w:r>
          </w:p>
        </w:tc>
        <w:tc>
          <w:tcPr>
            <w:tcW w:w="497"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宽城区大气环境布局敏感重点管控区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除在安全或者产业布局等方面有特殊要求的项目外，宜避免大规模排放大气污染物的项目布局建设。</w:t>
            </w:r>
          </w:p>
        </w:tc>
        <w:tc>
          <w:tcPr>
            <w:tcW w:w="958"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大气环境布局敏感重点管控区、建设用地污染风险重点管控区、高污染燃料禁燃区</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基于“三线一单”研究成果提出，《吉林省生态环境保护“十四五”规划》《污染地块土壤环境管理办法（试行）》《土壤污染防治行动计划》《工矿用地土壤环境管理办法（试行）》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8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1深入推进秸秆禁烧管控，实行秸秆全域禁烧。加快淘汰老旧车辆；强化道路扬尘控制。</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2实施化肥农药减量增效行动和农膜回收行动；采取积极措施，推进养殖业大气氨减排。</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bookmarkStart w:id="26" w:name="_Toc27572334"/>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46"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8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bl>
    <w:p>
      <w:pPr>
        <w:pStyle w:val="18"/>
        <w:rPr>
          <w:rFonts w:ascii="Times New Roman" w:hAnsi="Times New Roman" w:eastAsia="仿宋" w:cs="Times New Roman"/>
          <w:highlight w:val="none"/>
        </w:rPr>
      </w:pPr>
    </w:p>
    <w:bookmarkEnd w:id="26"/>
    <w:p>
      <w:pPr>
        <w:keepNext/>
        <w:keepLines/>
        <w:outlineLvl w:val="1"/>
        <w:rPr>
          <w:rFonts w:ascii="Times New Roman" w:hAnsi="Times New Roman" w:eastAsia="仿宋" w:cs="Times New Roman"/>
          <w:b/>
          <w:bCs/>
          <w:sz w:val="32"/>
          <w:szCs w:val="32"/>
          <w:highlight w:val="none"/>
        </w:rPr>
      </w:pPr>
      <w:bookmarkStart w:id="27" w:name="_Toc7165"/>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三</w:t>
      </w:r>
      <w:r>
        <w:rPr>
          <w:rFonts w:ascii="Times New Roman" w:hAnsi="Times New Roman" w:eastAsia="仿宋" w:cs="Times New Roman"/>
          <w:b/>
          <w:bCs/>
          <w:sz w:val="32"/>
          <w:szCs w:val="32"/>
          <w:highlight w:val="none"/>
        </w:rPr>
        <w:t>）长春市朝阳区</w:t>
      </w:r>
      <w:bookmarkEnd w:id="19"/>
      <w:r>
        <w:rPr>
          <w:rFonts w:ascii="Times New Roman" w:hAnsi="Times New Roman" w:eastAsia="仿宋" w:cs="Times New Roman"/>
          <w:b/>
          <w:bCs/>
          <w:sz w:val="32"/>
          <w:szCs w:val="32"/>
          <w:highlight w:val="none"/>
        </w:rPr>
        <w:t>生态环境准入清单</w:t>
      </w:r>
      <w:bookmarkEnd w:id="27"/>
    </w:p>
    <w:p>
      <w:pPr>
        <w:jc w:val="center"/>
        <w:rPr>
          <w:rFonts w:ascii="Times New Roman" w:hAnsi="Times New Roman" w:eastAsia="仿宋" w:cs="Times New Roman"/>
          <w:b/>
          <w:highlight w:val="none"/>
        </w:rPr>
      </w:pPr>
      <w:bookmarkStart w:id="28" w:name="_Toc27572320"/>
      <w:r>
        <w:rPr>
          <w:rFonts w:ascii="Times New Roman" w:hAnsi="Times New Roman" w:eastAsia="仿宋" w:cs="Times New Roman"/>
          <w:b/>
          <w:highlight w:val="none"/>
        </w:rPr>
        <w:t>表4-1-1 长春市朝阳区区域特征研判</w:t>
      </w:r>
      <w:bookmarkEnd w:id="28"/>
    </w:p>
    <w:tbl>
      <w:tblPr>
        <w:tblStyle w:val="2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1.《吉林省主体功能区规划》中的国家级重点开发区域——长吉图经济区。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 位于吉林省中部，伊通河上游，省会长春市中南部，面积237平方公里（其中建成区37.78平方公里），人口70余万人，下设9个街道、53个社区，永春、乐山2个镇、24个村，以及1个省级开发区——长春朝阳经济开发区。</w:t>
            </w:r>
          </w:p>
        </w:tc>
        <w:tc>
          <w:tcPr>
            <w:tcW w:w="161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highlight w:val="none"/>
              </w:rPr>
            </w:pPr>
            <w:r>
              <w:rPr>
                <w:rFonts w:ascii="Times New Roman" w:hAnsi="Times New Roman" w:eastAsia="仿宋" w:cs="Times New Roman"/>
                <w:bCs/>
                <w:kern w:val="0"/>
                <w:szCs w:val="21"/>
                <w:highlight w:val="none"/>
              </w:rPr>
              <w:t>依托现有资源禀赋、区位优势和产业基础，结合长春推动高质量发展“四大板块”发展战略，立足“一核三区”空间布局，以集聚发展、创新发展、融合发展为统领，细化板块内部功能分区，加强协同发展，形成“一核带三区”、“三区促一核”的高质量发展格局。加快实施“产业兴区、服务业强区”战略，突出发展“两大支柱产业、三大重点产业”，将现代商贸服务业、汽车零部件制造业打造成为朝阳区经济发展的支柱产业，重点发展信息技术服务业、金融服务业、文旅康养业，形成“2+3”产业布局。坚持科技创新带动产业创新、市场创新、管理创新，在产业升级、产业链完善和创新链拓展方面下功夫，提升自主创新能力，加强产业融合，全面推动服务提升、消费提升、环境提升，把朝阳建设成为“高端产业集聚区”。到2035年，在实现全面振兴全方位振兴基础上，努力在全面建设社会主义现代化国家新征程中走在全省前列。</w:t>
            </w:r>
          </w:p>
        </w:tc>
        <w:tc>
          <w:tcPr>
            <w:tcW w:w="116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highlight w:val="none"/>
              </w:rPr>
            </w:pPr>
            <w:r>
              <w:rPr>
                <w:rFonts w:ascii="Times New Roman" w:hAnsi="Times New Roman" w:eastAsia="仿宋" w:cs="Times New Roman"/>
                <w:bCs/>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highlight w:val="none"/>
              </w:rPr>
            </w:pPr>
            <w:r>
              <w:rPr>
                <w:rFonts w:ascii="Times New Roman" w:hAnsi="Times New Roman" w:eastAsia="仿宋" w:cs="Times New Roman"/>
                <w:bCs/>
                <w:kern w:val="0"/>
                <w:szCs w:val="21"/>
                <w:highlight w:val="none"/>
              </w:rPr>
              <w:t>1.重点保护</w:t>
            </w:r>
          </w:p>
          <w:p>
            <w:pPr>
              <w:rPr>
                <w:rFonts w:ascii="Times New Roman" w:hAnsi="Times New Roman" w:eastAsia="仿宋" w:cs="Times New Roman"/>
                <w:bCs/>
                <w:kern w:val="0"/>
                <w:szCs w:val="21"/>
                <w:highlight w:val="none"/>
              </w:rPr>
            </w:pPr>
            <w:r>
              <w:rPr>
                <w:rFonts w:ascii="Times New Roman" w:hAnsi="Times New Roman" w:eastAsia="仿宋" w:cs="Times New Roman"/>
                <w:bCs/>
                <w:kern w:val="0"/>
                <w:szCs w:val="21"/>
                <w:highlight w:val="none"/>
              </w:rPr>
              <w:t>吉林长春新立湖国家湿地公园、新立城水库，黑土地资源。</w:t>
            </w:r>
          </w:p>
          <w:p>
            <w:pPr>
              <w:rPr>
                <w:rFonts w:ascii="Times New Roman" w:hAnsi="Times New Roman" w:eastAsia="仿宋" w:cs="Times New Roman"/>
                <w:bCs/>
                <w:kern w:val="0"/>
                <w:szCs w:val="21"/>
                <w:highlight w:val="none"/>
              </w:rPr>
            </w:pPr>
          </w:p>
        </w:tc>
      </w:tr>
    </w:tbl>
    <w:p>
      <w:pPr>
        <w:jc w:val="center"/>
        <w:rPr>
          <w:rFonts w:ascii="Times New Roman" w:hAnsi="Times New Roman" w:eastAsia="仿宋" w:cs="Times New Roman"/>
          <w:b/>
          <w:color w:val="FF0000"/>
          <w:highlight w:val="none"/>
        </w:rPr>
      </w:pPr>
      <w:bookmarkStart w:id="29" w:name="_Toc27572321"/>
    </w:p>
    <w:p>
      <w:pPr>
        <w:jc w:val="center"/>
        <w:rPr>
          <w:rFonts w:ascii="Times New Roman" w:hAnsi="Times New Roman" w:eastAsia="仿宋" w:cs="Times New Roman"/>
          <w:b/>
          <w:highlight w:val="none"/>
        </w:rPr>
      </w:pPr>
      <w:r>
        <w:rPr>
          <w:rFonts w:ascii="Times New Roman" w:hAnsi="Times New Roman" w:eastAsia="仿宋" w:cs="Times New Roman"/>
          <w:b/>
          <w:highlight w:val="none"/>
        </w:rPr>
        <w:t>表4-1-2 长春市朝阳区生态环境准入清单</w:t>
      </w:r>
      <w:bookmarkEnd w:id="29"/>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36"/>
        <w:gridCol w:w="2119"/>
        <w:gridCol w:w="1726"/>
        <w:gridCol w:w="1789"/>
        <w:gridCol w:w="9632"/>
        <w:gridCol w:w="40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501"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408"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7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55"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ZH22010410001</w:t>
            </w:r>
          </w:p>
        </w:tc>
        <w:tc>
          <w:tcPr>
            <w:tcW w:w="501"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吉林长春新立湖国家湿地公园</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w:t>
            </w:r>
            <w:r>
              <w:rPr>
                <w:rFonts w:hint="eastAsia" w:ascii="Times New Roman" w:hAnsi="Times New Roman" w:eastAsia="仿宋" w:cs="Times New Roman"/>
                <w:sz w:val="20"/>
                <w:szCs w:val="20"/>
                <w:highlight w:val="none"/>
              </w:rPr>
              <w:t>湿地公园</w:t>
            </w:r>
            <w:r>
              <w:rPr>
                <w:rFonts w:ascii="Times New Roman" w:hAnsi="Times New Roman" w:eastAsia="仿宋" w:cs="Times New Roman"/>
                <w:sz w:val="20"/>
                <w:szCs w:val="20"/>
                <w:highlight w:val="none"/>
              </w:rPr>
              <w:t>执行《中华人民共和国湿地保护法》《湿地保护管理规定》</w:t>
            </w:r>
            <w:r>
              <w:rPr>
                <w:rFonts w:hint="eastAsia" w:ascii="Times New Roman" w:hAnsi="Times New Roman" w:eastAsia="仿宋" w:cs="Times New Roman"/>
                <w:sz w:val="20"/>
                <w:szCs w:val="20"/>
                <w:highlight w:val="none"/>
              </w:rPr>
              <w:t>《国家级自然公园管理办法（试行）》</w:t>
            </w:r>
            <w:r>
              <w:rPr>
                <w:rFonts w:ascii="Times New Roman" w:hAnsi="Times New Roman" w:eastAsia="仿宋" w:cs="Times New Roman"/>
                <w:sz w:val="20"/>
                <w:szCs w:val="20"/>
                <w:highlight w:val="none"/>
              </w:rPr>
              <w:t>《吉林省湿地保护条例》《关于特别是作为水禽栖息地的国际重要湿地公约》相关要求。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w:t>
            </w:r>
            <w:r>
              <w:rPr>
                <w:rFonts w:hint="eastAsia" w:ascii="Times New Roman" w:hAnsi="Times New Roman" w:eastAsia="仿宋" w:cs="Times New Roman"/>
                <w:sz w:val="20"/>
                <w:szCs w:val="20"/>
                <w:highlight w:val="none"/>
              </w:rPr>
              <w:t>饮用水水源保护区</w:t>
            </w:r>
            <w:r>
              <w:rPr>
                <w:rFonts w:ascii="Times New Roman" w:hAnsi="Times New Roman" w:eastAsia="仿宋" w:cs="Times New Roman"/>
                <w:sz w:val="20"/>
                <w:szCs w:val="20"/>
                <w:highlight w:val="none"/>
              </w:rPr>
              <w:t>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生态保护红线、水环境优先保护区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湿地公园、饮用水水源保护区、水土保持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ZH22010410002</w:t>
            </w:r>
          </w:p>
        </w:tc>
        <w:tc>
          <w:tcPr>
            <w:tcW w:w="501"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吉林八大部－净月潭国家级风景名胜区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sz w:val="20"/>
                <w:szCs w:val="20"/>
                <w:highlight w:val="none"/>
              </w:rPr>
            </w:pPr>
            <w:r>
              <w:rPr>
                <w:rFonts w:ascii="Times New Roman" w:hAnsi="Times New Roman" w:eastAsia="仿宋" w:cs="Times New Roman"/>
                <w:bCs/>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bCs/>
                <w:sz w:val="20"/>
                <w:szCs w:val="20"/>
                <w:highlight w:val="none"/>
              </w:rPr>
            </w:pPr>
            <w:r>
              <w:rPr>
                <w:rFonts w:ascii="Times New Roman" w:hAnsi="Times New Roman" w:eastAsia="仿宋" w:cs="Times New Roman"/>
                <w:bCs/>
                <w:sz w:val="20"/>
                <w:szCs w:val="20"/>
                <w:highlight w:val="none"/>
              </w:rPr>
              <w:t>2风景名胜区执行《风景名胜区条例》相关要求。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一般生态空间、大气环境优先保护区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风景名胜区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ZH22010410003</w:t>
            </w:r>
          </w:p>
        </w:tc>
        <w:tc>
          <w:tcPr>
            <w:tcW w:w="501"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长春市新立城水库饮用水水源保护区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一般生态空间、水环境优先保护区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ZH22010410004</w:t>
            </w:r>
          </w:p>
        </w:tc>
        <w:tc>
          <w:tcPr>
            <w:tcW w:w="501"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朝阳区中部台地水土保持功能生态保护红线</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生态保护红线、水环境优先保护区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ZH22010410005</w:t>
            </w:r>
          </w:p>
        </w:tc>
        <w:tc>
          <w:tcPr>
            <w:tcW w:w="501"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朝阳区松嫩平原水土保持功能生态保护红线</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生态保护红线、水环境优先保护区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 w:hRule="atLeast"/>
          <w:jc w:val="center"/>
        </w:trPr>
        <w:tc>
          <w:tcPr>
            <w:tcW w:w="43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ZH22010420001</w:t>
            </w:r>
          </w:p>
        </w:tc>
        <w:tc>
          <w:tcPr>
            <w:tcW w:w="50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长春朝阳经济开发区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2持续开展“散乱污”企业排查整治。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3严格控制高耗水、高污染行业发展。</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kern w:val="0"/>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“长春国际汽车城”汽车零部件产业重要区域</w:t>
            </w:r>
            <w:r>
              <w:rPr>
                <w:rFonts w:ascii="Times New Roman" w:hAnsi="Times New Roman" w:eastAsia="仿宋" w:cs="Times New Roman"/>
                <w:b/>
                <w:bCs/>
                <w:kern w:val="0"/>
                <w:sz w:val="20"/>
                <w:szCs w:val="20"/>
                <w:highlight w:val="none"/>
              </w:rPr>
              <w:t>、</w:t>
            </w:r>
            <w:r>
              <w:rPr>
                <w:rFonts w:ascii="Times New Roman" w:hAnsi="Times New Roman" w:eastAsia="仿宋" w:cs="Times New Roman"/>
                <w:sz w:val="20"/>
                <w:szCs w:val="20"/>
                <w:highlight w:val="none"/>
              </w:rPr>
              <w:t xml:space="preserve">吉林省智能网联及新能源汽车供应链产业园 </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富锋新区以生活服务为主；汽车零部件产业园（智能网联及新能源汽车供应链产业园）以汽车零部件为主导产业，发展智能汽车、新能源汽车配套零部件的研发与制造、完善装备制造业；汽车后服务产业园加快生产性服务业和现代商务服务业发展；健康医药产业园培育健康医药产业；现代物流园汽车物流为主；创意产业以文化创意产业为主导</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ZH22010420002</w:t>
            </w:r>
          </w:p>
        </w:tc>
        <w:tc>
          <w:tcPr>
            <w:tcW w:w="50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长春高新技术产业开发区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1禁止《产业结构调整指导目录》中的“淘汰类”项目；严格限制《产业结构调整指导目录》中的“限制类”项目入区。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2禁止《外商投资产业指导目录》中禁止外商投资的项目；严格限制《外商投资产业指导目录》中限制外商投资的项目入区。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3禁止不符合开发区总体规划或产业规划项目入区。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4禁止新建水环境污染严重的项目；严格限制涉重企业入区，新增的重金属总量须征得相关主管部门批准后，方可实施。</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创新经济发展示范区、新一轮东北振兴重要引擎、体制机制改革先行区</w:t>
            </w:r>
          </w:p>
          <w:p>
            <w:pPr>
              <w:jc w:val="left"/>
              <w:rPr>
                <w:rFonts w:ascii="Times New Roman" w:hAnsi="Times New Roman" w:eastAsia="仿宋" w:cs="Times New Roman"/>
                <w:b/>
                <w:bCs/>
                <w:kern w:val="0"/>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光电子与信息产业、汽车及零部件产业、动漫及相关产业、生物与医药产业、文化创意、信息软件及检测服务业、电气机械和设备制造业、软件及服务外包产业、先进装备制造业、新能源产业、新材料产业</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ZH22010420003</w:t>
            </w:r>
          </w:p>
        </w:tc>
        <w:tc>
          <w:tcPr>
            <w:tcW w:w="501"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朝阳区城镇开发边界</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发展定位：</w:t>
            </w:r>
            <w:r>
              <w:rPr>
                <w:rFonts w:ascii="Times New Roman" w:hAnsi="Times New Roman" w:eastAsia="仿宋" w:cs="Times New Roman"/>
                <w:sz w:val="20"/>
                <w:szCs w:val="20"/>
                <w:highlight w:val="none"/>
              </w:rPr>
              <w:t>大力发展第三产业，优化提升传统服务业质量，强化城区综合服务职能；加强历史文化保护力度；调整中心区职能，改善中心区交通状况；加强新立城水库汇水区自然生态环境的保护。</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ZH22010420004</w:t>
            </w:r>
          </w:p>
        </w:tc>
        <w:tc>
          <w:tcPr>
            <w:tcW w:w="50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朝阳区大气环境高排放重点管控区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01"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ZH22010420005</w:t>
            </w:r>
          </w:p>
        </w:tc>
        <w:tc>
          <w:tcPr>
            <w:tcW w:w="501"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朝阳区大气环境布局敏感重点管控区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除在安全或者产业布局等方面有特殊要求的项目外，宜避免大规模排放大气污染物的项目布局建设。</w:t>
            </w:r>
          </w:p>
        </w:tc>
        <w:tc>
          <w:tcPr>
            <w:tcW w:w="955"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kern w:val="0"/>
                <w:sz w:val="20"/>
                <w:szCs w:val="20"/>
                <w:highlight w:val="none"/>
              </w:rPr>
              <w:t>大气环境布局敏感重点管控区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基于“三线一单”研究成果提出，《吉林省生态环境保护“十四五”规划》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textAlignment w:val="center"/>
              <w:rPr>
                <w:rFonts w:ascii="Times New Roman" w:hAnsi="Times New Roman" w:eastAsia="仿宋" w:cs="Times New Roman"/>
                <w:color w:val="000000"/>
                <w:kern w:val="0"/>
                <w:sz w:val="24"/>
                <w:szCs w:val="24"/>
                <w:highlight w:val="none"/>
                <w:lang w:bidi="ar"/>
              </w:rPr>
            </w:pPr>
          </w:p>
        </w:tc>
        <w:tc>
          <w:tcPr>
            <w:tcW w:w="501" w:type="pct"/>
            <w:vMerge w:val="continue"/>
            <w:shd w:val="clear" w:color="auto" w:fill="auto"/>
            <w:vAlign w:val="center"/>
          </w:tcPr>
          <w:p>
            <w:pPr>
              <w:widowControl/>
              <w:jc w:val="left"/>
              <w:textAlignment w:val="center"/>
              <w:rPr>
                <w:rFonts w:ascii="Times New Roman" w:hAnsi="Times New Roman" w:eastAsia="仿宋" w:cs="Times New Roman"/>
                <w:color w:val="000000"/>
                <w:kern w:val="0"/>
                <w:sz w:val="24"/>
                <w:szCs w:val="24"/>
                <w:highlight w:val="none"/>
                <w:lang w:bidi="ar"/>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1深入推进秸秆禁烧管控，实行秸秆全域禁烧。加快淘汰老旧车辆；强化道路扬尘控制。</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2实施化肥农药减量增效行动和农膜回收行动；采取积极措施，推进养殖业大气氨减排。</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vMerge w:val="continue"/>
            <w:shd w:val="clear" w:color="auto" w:fill="auto"/>
            <w:vAlign w:val="center"/>
          </w:tcPr>
          <w:p>
            <w:pPr>
              <w:widowControl/>
              <w:jc w:val="left"/>
              <w:textAlignment w:val="center"/>
              <w:rPr>
                <w:rFonts w:ascii="Times New Roman" w:hAnsi="Times New Roman" w:eastAsia="仿宋" w:cs="Times New Roman"/>
                <w:color w:val="000000"/>
                <w:kern w:val="0"/>
                <w:sz w:val="24"/>
                <w:szCs w:val="24"/>
                <w:highlight w:val="none"/>
                <w:lang w:bidi="ar"/>
              </w:rPr>
            </w:pPr>
          </w:p>
        </w:tc>
        <w:tc>
          <w:tcPr>
            <w:tcW w:w="501" w:type="pct"/>
            <w:vMerge w:val="continue"/>
            <w:shd w:val="clear" w:color="auto" w:fill="auto"/>
            <w:vAlign w:val="center"/>
          </w:tcPr>
          <w:p>
            <w:pPr>
              <w:widowControl/>
              <w:jc w:val="left"/>
              <w:textAlignment w:val="center"/>
              <w:rPr>
                <w:rFonts w:ascii="Times New Roman" w:hAnsi="Times New Roman" w:eastAsia="仿宋" w:cs="Times New Roman"/>
                <w:color w:val="000000"/>
                <w:kern w:val="0"/>
                <w:sz w:val="24"/>
                <w:szCs w:val="24"/>
                <w:highlight w:val="none"/>
                <w:lang w:bidi="ar"/>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7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5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ZH22010430001</w:t>
            </w:r>
          </w:p>
        </w:tc>
        <w:tc>
          <w:tcPr>
            <w:tcW w:w="501" w:type="pc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朝阳区一般管控区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3-一般管控</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7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5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w:t>
            </w:r>
          </w:p>
        </w:tc>
      </w:tr>
    </w:tbl>
    <w:p>
      <w:pPr>
        <w:rPr>
          <w:rFonts w:ascii="Times New Roman" w:hAnsi="Times New Roman" w:eastAsia="仿宋" w:cs="Times New Roman"/>
          <w:color w:val="FF0000"/>
          <w:highlight w:val="none"/>
        </w:rPr>
      </w:pPr>
    </w:p>
    <w:p>
      <w:pPr>
        <w:keepNext/>
        <w:keepLines/>
        <w:outlineLvl w:val="1"/>
        <w:rPr>
          <w:rFonts w:ascii="Times New Roman" w:hAnsi="Times New Roman" w:eastAsia="仿宋" w:cs="Times New Roman"/>
          <w:b/>
          <w:bCs/>
          <w:sz w:val="32"/>
          <w:szCs w:val="32"/>
          <w:highlight w:val="none"/>
        </w:rPr>
      </w:pPr>
      <w:bookmarkStart w:id="30" w:name="_Toc27572325"/>
      <w:bookmarkStart w:id="31" w:name="_Toc7183"/>
      <w:bookmarkStart w:id="32" w:name="_Toc27572322"/>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四</w:t>
      </w:r>
      <w:r>
        <w:rPr>
          <w:rFonts w:ascii="Times New Roman" w:hAnsi="Times New Roman" w:eastAsia="仿宋" w:cs="Times New Roman"/>
          <w:b/>
          <w:bCs/>
          <w:sz w:val="32"/>
          <w:szCs w:val="32"/>
          <w:highlight w:val="none"/>
        </w:rPr>
        <w:t>）长春市二道区</w:t>
      </w:r>
      <w:bookmarkEnd w:id="30"/>
      <w:r>
        <w:rPr>
          <w:rFonts w:ascii="Times New Roman" w:hAnsi="Times New Roman" w:eastAsia="仿宋" w:cs="Times New Roman"/>
          <w:b/>
          <w:bCs/>
          <w:sz w:val="32"/>
          <w:szCs w:val="32"/>
          <w:highlight w:val="none"/>
        </w:rPr>
        <w:t>生态环境准入清单</w:t>
      </w:r>
      <w:bookmarkEnd w:id="31"/>
    </w:p>
    <w:p>
      <w:pPr>
        <w:jc w:val="center"/>
        <w:rPr>
          <w:rFonts w:ascii="Times New Roman" w:hAnsi="Times New Roman" w:eastAsia="仿宋" w:cs="Times New Roman"/>
          <w:b/>
          <w:highlight w:val="none"/>
        </w:rPr>
      </w:pPr>
      <w:bookmarkStart w:id="33" w:name="_Toc27572326"/>
      <w:r>
        <w:rPr>
          <w:rFonts w:ascii="Times New Roman" w:hAnsi="Times New Roman" w:eastAsia="仿宋" w:cs="Times New Roman"/>
          <w:b/>
          <w:highlight w:val="none"/>
        </w:rPr>
        <w:t>表4-3-1长春市二道区区域特征研判</w:t>
      </w:r>
      <w:bookmarkEnd w:id="33"/>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1.《吉林省主体功能区规划》中的国家级重点开发区域——长吉图经济区。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2.位于长春市东部，面积102平方公里，辖1个省级开发区--长春国际物流经济开发区，7街、1镇，41个社区、8个建制村，总人口40万。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现代服务业重点发展现代物流业、商务商贸业、文化创意产业、新金融与科技服务业、电子商务产业、房地产与社区服务业；新型工业坚持把节能环保、新能源、新材料等作为主攻方向，着力集聚一批前景好、潜力足的高新技术企业，建好“英俊工业走廊”。</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努力把长春东部中央商务区打造成吉林省中部创新转型示范区的先导区；把现代物流中心区打造成全省消费品物流中心；把休闲商务发展区打造成长春东部特色商务集聚区。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hint="eastAsia" w:ascii="Times New Roman" w:hAnsi="Times New Roman" w:eastAsia="仿宋" w:cs="Times New Roman"/>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1.重点保护：</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吉林九台湿地省级自然保护区、长春市石头口门水库生活饮用水水源地</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2.重点解决问题</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（1）确保人类开发活动不挤占耕地。</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（2）控制工业污染排放。</w:t>
            </w:r>
          </w:p>
        </w:tc>
      </w:tr>
    </w:tbl>
    <w:p>
      <w:pPr>
        <w:pStyle w:val="18"/>
        <w:ind w:left="0" w:leftChars="0" w:firstLine="0"/>
        <w:rPr>
          <w:rFonts w:ascii="Times New Roman" w:hAnsi="Times New Roman" w:eastAsia="仿宋" w:cs="Times New Roman"/>
          <w:b/>
          <w:highlight w:val="none"/>
        </w:rPr>
      </w:pPr>
    </w:p>
    <w:p>
      <w:pPr>
        <w:jc w:val="center"/>
        <w:rPr>
          <w:rFonts w:ascii="Times New Roman" w:hAnsi="Times New Roman" w:eastAsia="仿宋" w:cs="Times New Roman"/>
          <w:b/>
          <w:highlight w:val="none"/>
        </w:rPr>
      </w:pPr>
      <w:bookmarkStart w:id="34" w:name="_Toc27572327"/>
      <w:r>
        <w:rPr>
          <w:rFonts w:ascii="Times New Roman" w:hAnsi="Times New Roman" w:eastAsia="仿宋" w:cs="Times New Roman"/>
          <w:b/>
          <w:highlight w:val="none"/>
        </w:rPr>
        <w:t>表4-3-2长春市二道区生态环境准入清单</w:t>
      </w:r>
      <w:bookmarkEnd w:id="34"/>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42"/>
        <w:gridCol w:w="2082"/>
        <w:gridCol w:w="1692"/>
        <w:gridCol w:w="1777"/>
        <w:gridCol w:w="9613"/>
        <w:gridCol w:w="40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492"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400"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42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7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54"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ZH22010510001</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吉林九台湿地省级自然保护区（莲花山区）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2生态保护红线内自然保护区执行《中华人民共和国自然保护区条例》相关要求。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生态保护红线、大气环境优先保护区、水环境优先保护区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ZH22010510002</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长春市石头口门水库饮用水水源保护区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ZH22010510003</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长春市石头口门水库饮用水水源保护区</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ZH22010510004</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二道区莲花山区水源涵养功能生态保护红线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水源涵养、饮用水水源保护区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ZH22010510005</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二道区莲花山区水土流失功能生态保护红线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水土流失、饮用水水源保护区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ZH22010510006</w:t>
            </w:r>
          </w:p>
        </w:tc>
        <w:tc>
          <w:tcPr>
            <w:tcW w:w="492" w:type="pc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二道区莲花山区其他生态功能生态保护红线</w:t>
            </w:r>
          </w:p>
        </w:tc>
        <w:tc>
          <w:tcPr>
            <w:tcW w:w="40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其他生态功能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ZH22010520001</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长春净月高新技术产业开发区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1.禁止《产业结构调整指导目录》中的“淘汰类”项目；严格限制《产业结构调整指导目录》中的“限制类”项目入区。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2.禁止《外商投资产业指导目录》中禁止外商投资的项目；严格限制《外商投资产业指导目录》中限制外商投资的项目入区。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3.禁止不符合开发区总体规划或产业规划项目入区。</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4.禁止新建水环境污染严重的项目；严格限制涉重企业入区，新增的重金属总量须征得相关主管部门批准后，方可实施。</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大气环境高排放重点管控区、水环境工业污染重点管控区、高污染燃料禁燃区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创新经济发展示范区、新一轮东北振兴重要引擎、体制机制改革先行区</w:t>
            </w:r>
          </w:p>
          <w:p>
            <w:pPr>
              <w:jc w:val="left"/>
              <w:rPr>
                <w:rFonts w:ascii="Times New Roman" w:hAnsi="Times New Roman" w:eastAsia="仿宋" w:cs="Times New Roman"/>
                <w:b/>
                <w:bCs/>
                <w:kern w:val="0"/>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光电子与信息产业、汽车及零部件产业、新能源材料、动漫及相关产业、生物与医药产业、文化创意、信息软件及检测服务业、电气机械和设备制造业、软件及服务外包产业、先进装备制造业</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3严格落实规划环评及其批复文件制定的环境风险防范措施。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ZH22010520002</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长春兴隆综合保税区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基于“三线”研究成果，结合《污染地块土壤环境管理办法（试行）》《工矿用地土壤环境管理办法（试行）》《企业事业单位突发环境事件应急预案备案管理办法（试行）》《吉林省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3严格落实规划环评及其批复文件制定的环境风险防范措施。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ZH22010520003</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长春二道经济开发区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严格落实规划环评及其批复文件环境准入条件</w:t>
            </w:r>
            <w:r>
              <w:rPr>
                <w:rFonts w:ascii="Times New Roman" w:hAnsi="Times New Roman" w:eastAsia="仿宋" w:cs="Times New Roman"/>
                <w:sz w:val="20"/>
                <w:szCs w:val="20"/>
                <w:highlight w:val="none"/>
              </w:rPr>
              <w:t>。</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2严格禁止造纸、制革、印染、电镀、水泥、钢铁、粮食深加工等行业以及不符合园区产业发展方向，能耗、物耗较大，污染严重的项目入区。</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功能定位：</w:t>
            </w:r>
            <w:r>
              <w:rPr>
                <w:rFonts w:ascii="Times New Roman" w:hAnsi="Times New Roman" w:eastAsia="仿宋" w:cs="Times New Roman"/>
                <w:sz w:val="20"/>
                <w:szCs w:val="20"/>
                <w:highlight w:val="none"/>
              </w:rPr>
              <w:t>建成产业高度集聚、空间布局合理、分工体系完善、资源配置优化的新型开发区；交通便捷、设施完善、商业发达、生活便利、适宜居住的繁荣市区；生态环境良好、经济繁荣发达、区域功能完备、社会和谐文明的现代化新城区。</w:t>
            </w:r>
          </w:p>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sz w:val="20"/>
                <w:szCs w:val="20"/>
                <w:highlight w:val="none"/>
              </w:rPr>
              <w:t>创新制造板块重点发展先进制造、新型建材、新材料等相关产业，创新服务板块重点发展现代服务和高质量居住等相关产业，生态农业板块重点发展生态涵养和休闲农业等相关产业。长青单元和长江单元主要以商贸、居住，物流和少量工业为主。</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基于“三线”研究成果，结合《污染地块土壤环境管理办法（试行）》《土壤污染防治行动计划》《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57"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ZH22010520004</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长春经济技术开发区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2严格控制高耗水、高污染行业发展。</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sz w:val="20"/>
                <w:szCs w:val="20"/>
                <w:highlight w:val="none"/>
              </w:rPr>
              <w:t>长春经济技术开发区是长春市“双心、三翼、多组团”整体规划中工业化推进的主要区域</w:t>
            </w:r>
          </w:p>
          <w:p>
            <w:pPr>
              <w:jc w:val="left"/>
              <w:rPr>
                <w:rFonts w:ascii="Times New Roman" w:hAnsi="Times New Roman" w:eastAsia="仿宋" w:cs="Times New Roman"/>
                <w:sz w:val="20"/>
                <w:szCs w:val="20"/>
                <w:highlight w:val="none"/>
                <w:shd w:val="clear" w:color="auto" w:fill="FFFFFF"/>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sz w:val="20"/>
                <w:szCs w:val="20"/>
                <w:highlight w:val="none"/>
              </w:rPr>
              <w:t>南区重点发展的主要产业为汽车零部件、光电信息、专用车、快速消费品；北区重点发展的主要产业为农副产品加工及其相关产业、石化设备与新能源装备制造产业、医药、医疗器械及食品制造加工业、保税仓储加工业等</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ZH22010520005</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长春北湖科技开发区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w:t>
            </w:r>
            <w:r>
              <w:rPr>
                <w:rFonts w:hint="eastAsia" w:ascii="Times New Roman" w:hAnsi="Times New Roman" w:eastAsia="仿宋" w:cs="Times New Roman"/>
                <w:kern w:val="0"/>
                <w:sz w:val="20"/>
                <w:szCs w:val="20"/>
                <w:highlight w:val="none"/>
              </w:rPr>
              <w:t>严格落实规划环评及其批复文件环境准入条件</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2禁止在化工园区外新建、扩建化工项目，未纳入国家《石化产业规划布局方案》的新建炼化项目一律不得建设。</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3严格控制高耗水、高污染行业发展。</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bCs/>
                <w:kern w:val="0"/>
                <w:sz w:val="20"/>
                <w:szCs w:val="20"/>
                <w:highlight w:val="none"/>
              </w:rPr>
              <w:t>大气环境高排放重点管控区、水环境工业污染重点管控区、建设用地污染风险重点管控区、高污染燃料禁燃区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依据：</w:t>
            </w:r>
            <w:r>
              <w:rPr>
                <w:rFonts w:ascii="Times New Roman" w:hAnsi="Times New Roman" w:eastAsia="仿宋" w:cs="Times New Roman"/>
                <w:bCs/>
                <w:kern w:val="0"/>
                <w:sz w:val="20"/>
                <w:szCs w:val="20"/>
                <w:highlight w:val="none"/>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4</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ZH22010520006</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长春莲花山生态旅游度假区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大气环境受体敏感重点管控区、水环境城镇生活污染重点管控区、建设用地污染风险重点管控区、高污染燃料禁燃区</w:t>
            </w:r>
          </w:p>
          <w:p>
            <w:pPr>
              <w:jc w:val="left"/>
              <w:rPr>
                <w:rFonts w:ascii="Times New Roman" w:hAnsi="Times New Roman" w:eastAsia="仿宋" w:cs="Times New Roman"/>
                <w:b/>
                <w:bCs/>
                <w:sz w:val="20"/>
                <w:szCs w:val="20"/>
                <w:highlight w:val="none"/>
              </w:rPr>
            </w:pPr>
            <w:r>
              <w:rPr>
                <w:rFonts w:ascii="Times New Roman" w:hAnsi="Times New Roman" w:eastAsia="仿宋" w:cs="Times New Roman"/>
                <w:b/>
                <w:bCs/>
                <w:sz w:val="20"/>
                <w:szCs w:val="20"/>
                <w:highlight w:val="none"/>
              </w:rPr>
              <w:t>主导产业：</w:t>
            </w:r>
            <w:r>
              <w:rPr>
                <w:rFonts w:ascii="Times New Roman" w:hAnsi="Times New Roman" w:eastAsia="仿宋" w:cs="Times New Roman"/>
                <w:bCs/>
                <w:sz w:val="20"/>
                <w:szCs w:val="20"/>
                <w:highlight w:val="none"/>
              </w:rPr>
              <w:t>绿色生态、文化创意、旅游度假、体育休闲、智慧智能、健康养生、金融服务、都市农业、会议会展、数字IT。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加大燃煤锅炉达标排放监管力度，提升除尘效率。</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ZH22010520007</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二道区城镇开发边界</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ZH22010520008</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二道区大气环境高排放重点管控区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大气环境高排放重点管控区、建设用地污染风险重点管控区、高污染燃料禁燃区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ZH22010520009</w:t>
            </w:r>
          </w:p>
        </w:tc>
        <w:tc>
          <w:tcPr>
            <w:tcW w:w="492"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二道区大气环境布局敏感重点管控区</w:t>
            </w:r>
          </w:p>
        </w:tc>
        <w:tc>
          <w:tcPr>
            <w:tcW w:w="40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42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空间布局约束</w:t>
            </w:r>
          </w:p>
        </w:tc>
        <w:tc>
          <w:tcPr>
            <w:tcW w:w="227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除在安全或者产业布局等方面有特殊要求的项目外，宜避免大规模排放大气污染物的项目布局建设。</w:t>
            </w:r>
          </w:p>
        </w:tc>
        <w:tc>
          <w:tcPr>
            <w:tcW w:w="954"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大气环境布局敏感重点管控区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1深入推进秸秆禁烧管控，实行秸秆全域禁烧。加快淘汰老旧车辆；强化道路扬尘控制。</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2实施化肥农药减量增效行动和农膜回收行动；采取积极措施，推进养殖业大气氨减排。</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92"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2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7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5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9" w:type="pct"/>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ZH22010530001</w:t>
            </w:r>
          </w:p>
        </w:tc>
        <w:tc>
          <w:tcPr>
            <w:tcW w:w="492" w:type="pct"/>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二道区一般管控区</w:t>
            </w:r>
          </w:p>
        </w:tc>
        <w:tc>
          <w:tcPr>
            <w:tcW w:w="400" w:type="pct"/>
            <w:tcBorders>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3-一般管控</w:t>
            </w:r>
          </w:p>
        </w:tc>
        <w:tc>
          <w:tcPr>
            <w:tcW w:w="42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7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4"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w:t>
            </w:r>
          </w:p>
        </w:tc>
      </w:tr>
    </w:tbl>
    <w:p>
      <w:pPr>
        <w:rPr>
          <w:rFonts w:ascii="Times New Roman" w:hAnsi="Times New Roman" w:eastAsia="仿宋" w:cs="Times New Roman"/>
          <w:color w:val="FF0000"/>
          <w:highlight w:val="none"/>
        </w:rPr>
      </w:pPr>
    </w:p>
    <w:p>
      <w:pPr>
        <w:keepNext/>
        <w:keepLines/>
        <w:outlineLvl w:val="1"/>
        <w:rPr>
          <w:rFonts w:ascii="Times New Roman" w:hAnsi="Times New Roman" w:eastAsia="仿宋" w:cs="Times New Roman"/>
          <w:b/>
          <w:bCs/>
          <w:sz w:val="32"/>
          <w:szCs w:val="32"/>
          <w:highlight w:val="none"/>
        </w:rPr>
      </w:pPr>
      <w:bookmarkStart w:id="35" w:name="_Toc27572343"/>
      <w:bookmarkStart w:id="36" w:name="_Toc23445"/>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五</w:t>
      </w:r>
      <w:r>
        <w:rPr>
          <w:rFonts w:ascii="Times New Roman" w:hAnsi="Times New Roman" w:eastAsia="仿宋" w:cs="Times New Roman"/>
          <w:b/>
          <w:bCs/>
          <w:sz w:val="32"/>
          <w:szCs w:val="32"/>
          <w:highlight w:val="none"/>
        </w:rPr>
        <w:t>）长春市绿园区</w:t>
      </w:r>
      <w:bookmarkEnd w:id="35"/>
      <w:r>
        <w:rPr>
          <w:rFonts w:ascii="Times New Roman" w:hAnsi="Times New Roman" w:eastAsia="仿宋" w:cs="Times New Roman"/>
          <w:b/>
          <w:bCs/>
          <w:sz w:val="32"/>
          <w:szCs w:val="32"/>
          <w:highlight w:val="none"/>
        </w:rPr>
        <w:t>生态环境准入清单</w:t>
      </w:r>
      <w:bookmarkEnd w:id="36"/>
    </w:p>
    <w:p>
      <w:pPr>
        <w:jc w:val="center"/>
        <w:rPr>
          <w:rFonts w:ascii="Times New Roman" w:hAnsi="Times New Roman" w:eastAsia="仿宋" w:cs="Times New Roman"/>
          <w:b/>
          <w:highlight w:val="none"/>
        </w:rPr>
      </w:pPr>
      <w:bookmarkStart w:id="37" w:name="_Toc27572344"/>
      <w:r>
        <w:rPr>
          <w:rFonts w:ascii="Times New Roman" w:hAnsi="Times New Roman" w:eastAsia="仿宋" w:cs="Times New Roman"/>
          <w:b/>
          <w:highlight w:val="none"/>
        </w:rPr>
        <w:t>表4-9-1长春市绿园区区域特征研判</w:t>
      </w:r>
      <w:bookmarkEnd w:id="37"/>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1.《吉林省主体功能区规划》中的国家级重点开发区域——长吉图经济区。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 位于吉林省中部，伊通河上游，省会长春市西部，面积216平方公里</w:t>
            </w:r>
            <w:r>
              <w:rPr>
                <w:rFonts w:hint="eastAsia" w:ascii="Times New Roman" w:hAnsi="Times New Roman" w:eastAsia="仿宋" w:cs="Times New Roman"/>
                <w:kern w:val="0"/>
                <w:szCs w:val="21"/>
                <w:highlight w:val="none"/>
              </w:rPr>
              <w:t>，</w:t>
            </w:r>
            <w:r>
              <w:rPr>
                <w:rFonts w:ascii="Times New Roman" w:hAnsi="Times New Roman" w:eastAsia="仿宋" w:cs="Times New Roman"/>
                <w:kern w:val="0"/>
                <w:szCs w:val="21"/>
                <w:highlight w:val="none"/>
              </w:rPr>
              <w:t>辖9个街道、3个镇、2 个开发区。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是长春市重要的行走机械制造配套、农副产品加工和城市蔬菜副食品供应基地。</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推动以金融、文化、总部经济为主的高端服务业集聚发展，重点打造金融总部、信息科技、旅游会展、文化创意及高技术产业集聚区。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重点发展现代物流、生态休闲、都市农业等产业，推进老工业区搬迁改造，打造长春北部、东部和西部现代服务业中心区。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水环境质量需要持续改善</w:t>
            </w:r>
            <w:r>
              <w:rPr>
                <w:rFonts w:hint="eastAsia" w:ascii="Times New Roman" w:hAnsi="Times New Roman" w:eastAsia="仿宋" w:cs="Times New Roman"/>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重点解决问题</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（1）改善区域水环境。</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（2）确保人为开发活动不挤占耕地。</w:t>
            </w:r>
          </w:p>
        </w:tc>
      </w:tr>
    </w:tbl>
    <w:p>
      <w:pPr>
        <w:pStyle w:val="18"/>
        <w:rPr>
          <w:rFonts w:ascii="Times New Roman" w:hAnsi="Times New Roman" w:eastAsia="仿宋" w:cs="Times New Roman"/>
          <w:b/>
          <w:highlight w:val="none"/>
        </w:rPr>
      </w:pPr>
    </w:p>
    <w:p>
      <w:pPr>
        <w:jc w:val="center"/>
        <w:rPr>
          <w:rFonts w:ascii="Times New Roman" w:hAnsi="Times New Roman" w:eastAsia="仿宋" w:cs="Times New Roman"/>
          <w:b/>
          <w:highlight w:val="none"/>
        </w:rPr>
      </w:pPr>
      <w:bookmarkStart w:id="38" w:name="_Toc27572345"/>
      <w:r>
        <w:rPr>
          <w:rFonts w:ascii="Times New Roman" w:hAnsi="Times New Roman" w:eastAsia="仿宋" w:cs="Times New Roman"/>
          <w:b/>
          <w:highlight w:val="none"/>
        </w:rPr>
        <w:t>表4-9-2长春市绿园区生态环境准入清单</w:t>
      </w:r>
      <w:bookmarkEnd w:id="38"/>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84"/>
        <w:gridCol w:w="2060"/>
        <w:gridCol w:w="1713"/>
        <w:gridCol w:w="1578"/>
        <w:gridCol w:w="9721"/>
        <w:gridCol w:w="40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487"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405"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37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9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66"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ZH22010620001</w:t>
            </w:r>
          </w:p>
        </w:tc>
        <w:tc>
          <w:tcPr>
            <w:tcW w:w="487" w:type="pct"/>
            <w:vMerge w:val="restart"/>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长春皓月产业园区</w:t>
            </w:r>
          </w:p>
        </w:tc>
        <w:tc>
          <w:tcPr>
            <w:tcW w:w="405" w:type="pct"/>
            <w:vMerge w:val="restart"/>
            <w:tcBorders>
              <w:right w:val="single" w:color="auto" w:sz="4" w:space="0"/>
            </w:tcBorders>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空间布局约束</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bCs/>
                <w:kern w:val="0"/>
                <w:sz w:val="20"/>
                <w:szCs w:val="20"/>
                <w:highlight w:val="none"/>
              </w:rPr>
            </w:pPr>
            <w:r>
              <w:rPr>
                <w:rFonts w:hint="eastAsia" w:ascii="Times New Roman" w:hAnsi="Times New Roman" w:eastAsia="仿宋" w:cs="Times New Roman"/>
                <w:bCs/>
                <w:kern w:val="0"/>
                <w:sz w:val="20"/>
                <w:szCs w:val="20"/>
                <w:highlight w:val="none"/>
              </w:rPr>
              <w:t>严格落实规划环评及其批复文件环境准入条件</w:t>
            </w:r>
            <w:r>
              <w:rPr>
                <w:rFonts w:ascii="Times New Roman" w:hAnsi="Times New Roman" w:eastAsia="仿宋" w:cs="Times New Roman"/>
                <w:bCs/>
                <w:kern w:val="0"/>
                <w:sz w:val="20"/>
                <w:szCs w:val="20"/>
                <w:highlight w:val="none"/>
              </w:rPr>
              <w:t>。</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大气环境高排放重点管控区、水环境工业污染重点管控区、高污染燃料禁燃区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世界级农产品现代加工产业基地</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以肉牛深加工、肉牛皮革、生物医药、医疗器械及与食品加工、肉牛相关的其他产业；房地产开发、文化教育与卫生用地、汽车零配件等</w:t>
            </w:r>
          </w:p>
          <w:p>
            <w:pPr>
              <w:rPr>
                <w:rFonts w:ascii="Times New Roman" w:hAnsi="Times New Roman" w:eastAsia="仿宋" w:cs="Times New Roman"/>
                <w:bCs/>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kern w:val="0"/>
                <w:sz w:val="20"/>
                <w:szCs w:val="20"/>
                <w:highlight w:val="none"/>
              </w:rPr>
              <w:t>重点行业污染治理升级改造，推进各类园区循环化改造；强化堆场扬尘控制。规模化畜禽养殖场（小区）应当保证畜禽粪污无害化处理和资源化利用设施的正常运转。</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ZH22010620002</w:t>
            </w:r>
          </w:p>
        </w:tc>
        <w:tc>
          <w:tcPr>
            <w:tcW w:w="487" w:type="pct"/>
            <w:vMerge w:val="restart"/>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长春绿园经济开发区</w:t>
            </w:r>
          </w:p>
        </w:tc>
        <w:tc>
          <w:tcPr>
            <w:tcW w:w="405" w:type="pct"/>
            <w:vMerge w:val="restart"/>
            <w:tcBorders>
              <w:right w:val="single" w:color="auto" w:sz="4" w:space="0"/>
            </w:tcBorders>
            <w:shd w:val="clear" w:color="auto" w:fill="auto"/>
            <w:vAlign w:val="center"/>
          </w:tcPr>
          <w:p>
            <w:pPr>
              <w:widowControl/>
              <w:rPr>
                <w:rFonts w:ascii="Times New Roman" w:hAnsi="Times New Roman" w:eastAsia="仿宋" w:cs="Times New Roman"/>
                <w:bCs/>
                <w:kern w:val="0"/>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空间布局约束</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1禁止《产业结构调整指导目录》中“淘汰类”项目入区，严格控制《产业结构调整指导目录》中“限制类”项目入区。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2严格控制没有重金属污染物总量或涉重污染物不能零排放的电镀等表面处理项目入区。</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以轨道交通装备产业、汽车</w:t>
            </w:r>
            <w:r>
              <w:rPr>
                <w:rFonts w:hint="eastAsia" w:ascii="Times New Roman" w:hAnsi="Times New Roman" w:eastAsia="仿宋" w:cs="Times New Roman"/>
                <w:bCs/>
                <w:kern w:val="0"/>
                <w:sz w:val="20"/>
                <w:szCs w:val="20"/>
                <w:highlight w:val="none"/>
              </w:rPr>
              <w:t>配套</w:t>
            </w:r>
            <w:r>
              <w:rPr>
                <w:rFonts w:ascii="Times New Roman" w:hAnsi="Times New Roman" w:eastAsia="仿宋" w:cs="Times New Roman"/>
                <w:bCs/>
                <w:kern w:val="0"/>
                <w:sz w:val="20"/>
                <w:szCs w:val="20"/>
                <w:highlight w:val="none"/>
              </w:rPr>
              <w:t>产业、高端装备制造业、医药制造产业及食品轻工、物流仓储、服务业、循环经济产业等为主的现代化综合工业园区</w:t>
            </w:r>
          </w:p>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轨道交通装备产业、汽车</w:t>
            </w:r>
            <w:r>
              <w:rPr>
                <w:rFonts w:hint="eastAsia" w:ascii="Times New Roman" w:hAnsi="Times New Roman" w:eastAsia="仿宋" w:cs="Times New Roman"/>
                <w:bCs/>
                <w:kern w:val="0"/>
                <w:sz w:val="20"/>
                <w:szCs w:val="20"/>
                <w:highlight w:val="none"/>
              </w:rPr>
              <w:t>配套</w:t>
            </w:r>
            <w:r>
              <w:rPr>
                <w:rFonts w:ascii="Times New Roman" w:hAnsi="Times New Roman" w:eastAsia="仿宋" w:cs="Times New Roman"/>
                <w:bCs/>
                <w:kern w:val="0"/>
                <w:sz w:val="20"/>
                <w:szCs w:val="20"/>
                <w:highlight w:val="none"/>
              </w:rPr>
              <w:t>产业、高端装备制造业、医药制造产业及食品轻工、物流</w:t>
            </w:r>
            <w:r>
              <w:rPr>
                <w:rFonts w:hint="eastAsia" w:ascii="Times New Roman" w:hAnsi="Times New Roman" w:eastAsia="仿宋" w:cs="Times New Roman"/>
                <w:bCs/>
                <w:kern w:val="0"/>
                <w:sz w:val="20"/>
                <w:szCs w:val="20"/>
                <w:highlight w:val="none"/>
              </w:rPr>
              <w:t>贸易</w:t>
            </w:r>
            <w:r>
              <w:rPr>
                <w:rFonts w:ascii="Times New Roman" w:hAnsi="Times New Roman" w:eastAsia="仿宋" w:cs="Times New Roman"/>
                <w:bCs/>
                <w:kern w:val="0"/>
                <w:sz w:val="20"/>
                <w:szCs w:val="20"/>
                <w:highlight w:val="none"/>
              </w:rPr>
              <w:t>、服务业、循环经济产业等</w:t>
            </w:r>
          </w:p>
          <w:p>
            <w:pPr>
              <w:rPr>
                <w:rFonts w:ascii="Times New Roman" w:hAnsi="Times New Roman" w:eastAsia="仿宋" w:cs="Times New Roman"/>
                <w:bCs/>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highlight w:val="none"/>
              </w:rPr>
            </w:pPr>
            <w:r>
              <w:rPr>
                <w:rFonts w:ascii="Times New Roman" w:hAnsi="Times New Roman" w:eastAsia="仿宋" w:cs="Times New Roman"/>
                <w:kern w:val="0"/>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87" w:type="pct"/>
            <w:vMerge w:val="continue"/>
            <w:shd w:val="clear" w:color="auto" w:fill="auto"/>
            <w:vAlign w:val="center"/>
          </w:tcPr>
          <w:p>
            <w:pPr>
              <w:widowControl/>
              <w:rPr>
                <w:rFonts w:ascii="Times New Roman" w:hAnsi="Times New Roman" w:eastAsia="仿宋" w:cs="Times New Roman"/>
                <w:bCs/>
                <w:kern w:val="0"/>
                <w:sz w:val="20"/>
                <w:szCs w:val="20"/>
                <w:highlight w:val="none"/>
              </w:rPr>
            </w:pPr>
          </w:p>
        </w:tc>
        <w:tc>
          <w:tcPr>
            <w:tcW w:w="405"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Cs/>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69"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ZH22010620003</w:t>
            </w:r>
          </w:p>
        </w:tc>
        <w:tc>
          <w:tcPr>
            <w:tcW w:w="487" w:type="pct"/>
            <w:vMerge w:val="restart"/>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长春汽车经济技术开发区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空间布局约束</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1《产业结构调整指导目录》中的“淘汰类”项目；严格限制《产业结构调整指导目录》中的“限制类”项目入区；</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2《外商投资产业指导目录》中禁止外商投资的项目；</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3禁止引入的项目：①禁止造纸等对大气及水环境污染严重的项目；②C1351牲畜屠宰、C1352禽类屠宰不得进入该区域；</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4严格控制冶金、制革项目，严格限制涉重企业入区，新增的重金属总量须征得相关主管部门批准后，方可实施。。</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长春汽车经济技术开发区是长春市汽车产业的核心区域，拥有一定规模的配套体系和一定竞争优势的零部件制造企业集群，也是国内汽车研发教育机构最密集地区，有完善的汽车后市场服务区。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汽车制造、汽车零部件制造</w:t>
            </w:r>
          </w:p>
          <w:p>
            <w:pPr>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基于“三线”研究成果，结合《污染地块土壤环境管理办法（试行）》《工矿用地土壤环境管理办法（试行）》《企业事业单位突发环境事件应急预案备案管理办法（试行）》《吉林省“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资源开发效率</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1完成吉林省下达的产能置换要求。各产业执行对应的清洁生产标准。</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tc>
        <w:tc>
          <w:tcPr>
            <w:tcW w:w="966" w:type="pct"/>
            <w:vMerge w:val="continue"/>
            <w:tcBorders>
              <w:left w:val="single" w:color="auto" w:sz="4" w:space="0"/>
              <w:right w:val="single" w:color="auto" w:sz="4" w:space="0"/>
            </w:tcBorders>
            <w:vAlign w:val="center"/>
          </w:tcPr>
          <w:p>
            <w:pPr>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ZH22010620004</w:t>
            </w:r>
          </w:p>
        </w:tc>
        <w:tc>
          <w:tcPr>
            <w:tcW w:w="487"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绿园区城镇开发边界</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9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66"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大气环境受体敏感重点管控区、水环境城镇生活污染重点管控区、建设用地污染风险重点管控区、高污染燃料禁燃区</w:t>
            </w:r>
          </w:p>
          <w:p>
            <w:pPr>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发展定位：</w:t>
            </w:r>
            <w:r>
              <w:rPr>
                <w:rFonts w:ascii="Times New Roman" w:hAnsi="Times New Roman" w:eastAsia="仿宋" w:cs="Times New Roman"/>
                <w:bCs/>
                <w:kern w:val="0"/>
                <w:sz w:val="20"/>
                <w:szCs w:val="20"/>
                <w:highlight w:val="none"/>
              </w:rPr>
              <w:t>加强公共设施建设，提升城区综合职能，结合西客站建设西部新城，构筑西部城市中心；加强城市公共绿地建设，改善城区景观环境；建设长春西北生态、旅游、休闲带；保护长春西部生态。</w:t>
            </w:r>
          </w:p>
          <w:p>
            <w:pPr>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《关于开展畜禽养殖禁养区划定工作的通知》《畜禽规模养殖污染防治条例》《中共吉林省委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禁燃区内禁止燃用的高污染燃料按照《高污染燃料目录》中的第Ⅱ类执行；禁燃区内禁止新建、扩建燃用高污染燃料的锅炉、窑炉等燃烧设施（单台额定功率29MW及以上的集中供热锅炉、热电联产锅炉除外）；在集中供热管网或者燃气管网覆盖范围内的单台出力小于20蒸吨/小时（14MW/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ZH22010620005</w:t>
            </w:r>
          </w:p>
        </w:tc>
        <w:tc>
          <w:tcPr>
            <w:tcW w:w="487"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绿园区大气环境高排放重点管控区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推进重点行业污染治理升级改造。</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3规模化畜禽养殖场（小区）应当保证畜禽粪污无害化处理和资源化利用设施的正常运转。散养密集区要实行畜禽粪便污水分户收集、集中处理利用。</w:t>
            </w:r>
          </w:p>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6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大气环境高排放重点管控区、水环境风险重点管控区、水环境农业污染重点管控区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基于“三线”研究成果提出，结合《中共吉林省委 吉林省人民政府关于深入打好污染防治攻坚战的实施意见》《吉林省减污降碳协同增效实施方案》《吉林省 “十四五”节能减排综合实施方案》《长春市人民政府关于划定高污染燃料禁燃区的通告》《吉林省生态环境保护“十四五”规划》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完成吉林省下达的产能置换要求。</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ZH22010620006</w:t>
            </w:r>
          </w:p>
        </w:tc>
        <w:tc>
          <w:tcPr>
            <w:tcW w:w="487"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绿园区大气环境布局敏感重点管控区</w:t>
            </w:r>
          </w:p>
        </w:tc>
        <w:tc>
          <w:tcPr>
            <w:tcW w:w="40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37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9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除在安全或者产业布局等方面有特殊要求的项目外，宜避免大规模排放大气污染物的项目布局建设。</w:t>
            </w:r>
          </w:p>
        </w:tc>
        <w:tc>
          <w:tcPr>
            <w:tcW w:w="96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大气环境布局敏感重点管控区、水环境风险重点管控区、水环境农业污染重点管控区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污染物排放管控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1深入推进秸秆禁烧管控，实行秸秆全域禁烧。加快淘汰老旧车辆；强化道路扬尘控制。</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2实施化肥农药减量增效行动和农膜回收行动；采取积极措施，推进养殖业大气氨减排。</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3规模化畜禽养殖场（小区）应当保证畜禽粪污无害化处理和资源化利用设施的正常运转。散养密集区要实行畜禽粪便污水分户收集、集中处理利用。</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9"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87"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7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环境风险防控</w:t>
            </w:r>
          </w:p>
        </w:tc>
        <w:tc>
          <w:tcPr>
            <w:tcW w:w="229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tc>
        <w:tc>
          <w:tcPr>
            <w:tcW w:w="96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bl>
    <w:p>
      <w:pPr>
        <w:jc w:val="left"/>
        <w:rPr>
          <w:rFonts w:ascii="Times New Roman" w:hAnsi="Times New Roman" w:eastAsia="仿宋" w:cs="Times New Roman"/>
          <w:color w:val="FF0000"/>
          <w:highlight w:val="none"/>
        </w:rPr>
      </w:pPr>
    </w:p>
    <w:p>
      <w:pPr>
        <w:jc w:val="left"/>
        <w:rPr>
          <w:rFonts w:ascii="Times New Roman" w:hAnsi="Times New Roman" w:eastAsia="仿宋" w:cs="Times New Roman"/>
          <w:color w:val="FF0000"/>
          <w:highlight w:val="none"/>
        </w:rPr>
      </w:pPr>
    </w:p>
    <w:p>
      <w:pPr>
        <w:keepNext/>
        <w:keepLines/>
        <w:outlineLvl w:val="1"/>
        <w:rPr>
          <w:rFonts w:ascii="Times New Roman" w:hAnsi="Times New Roman" w:eastAsia="仿宋" w:cs="Times New Roman"/>
          <w:b/>
          <w:bCs/>
          <w:sz w:val="32"/>
          <w:szCs w:val="32"/>
          <w:highlight w:val="none"/>
        </w:rPr>
      </w:pPr>
      <w:bookmarkStart w:id="39" w:name="_Toc27572340"/>
      <w:bookmarkStart w:id="40" w:name="_Toc1213"/>
      <w:r>
        <w:rPr>
          <w:rFonts w:ascii="Times New Roman" w:hAnsi="Times New Roman" w:eastAsia="仿宋" w:cs="Times New Roman"/>
          <w:b/>
          <w:bCs/>
          <w:sz w:val="32"/>
          <w:szCs w:val="32"/>
          <w:highlight w:val="none"/>
        </w:rPr>
        <w:t>（</w:t>
      </w:r>
      <w:r>
        <w:rPr>
          <w:rFonts w:hint="eastAsia" w:ascii="Times New Roman" w:hAnsi="Times New Roman" w:eastAsia="仿宋" w:cs="Times New Roman"/>
          <w:b/>
          <w:bCs/>
          <w:sz w:val="32"/>
          <w:szCs w:val="32"/>
          <w:highlight w:val="none"/>
        </w:rPr>
        <w:t>六</w:t>
      </w:r>
      <w:r>
        <w:rPr>
          <w:rFonts w:ascii="Times New Roman" w:hAnsi="Times New Roman" w:eastAsia="仿宋" w:cs="Times New Roman"/>
          <w:b/>
          <w:bCs/>
          <w:sz w:val="32"/>
          <w:szCs w:val="32"/>
          <w:highlight w:val="none"/>
        </w:rPr>
        <w:t>）长春市双阳区</w:t>
      </w:r>
      <w:bookmarkEnd w:id="39"/>
      <w:r>
        <w:rPr>
          <w:rFonts w:ascii="Times New Roman" w:hAnsi="Times New Roman" w:eastAsia="仿宋" w:cs="Times New Roman"/>
          <w:b/>
          <w:bCs/>
          <w:sz w:val="32"/>
          <w:szCs w:val="32"/>
          <w:highlight w:val="none"/>
        </w:rPr>
        <w:t>生态环境准入清单</w:t>
      </w:r>
      <w:bookmarkEnd w:id="40"/>
    </w:p>
    <w:p>
      <w:pPr>
        <w:jc w:val="center"/>
        <w:rPr>
          <w:rFonts w:ascii="Times New Roman" w:hAnsi="Times New Roman" w:eastAsia="仿宋" w:cs="Times New Roman"/>
          <w:b/>
          <w:highlight w:val="none"/>
        </w:rPr>
      </w:pPr>
      <w:bookmarkStart w:id="41" w:name="_Toc27572341"/>
      <w:r>
        <w:rPr>
          <w:rFonts w:ascii="Times New Roman" w:hAnsi="Times New Roman" w:eastAsia="仿宋" w:cs="Times New Roman"/>
          <w:b/>
          <w:highlight w:val="none"/>
        </w:rPr>
        <w:t>表4-8-1长春市双阳区区域特征研判</w:t>
      </w:r>
      <w:bookmarkEnd w:id="41"/>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highlight w:val="none"/>
              </w:rPr>
            </w:pPr>
            <w:r>
              <w:rPr>
                <w:rFonts w:ascii="Times New Roman" w:hAnsi="Times New Roman" w:eastAsia="仿宋" w:cs="Times New Roman"/>
                <w:b/>
                <w:kern w:val="0"/>
                <w:szCs w:val="21"/>
                <w:highlight w:val="none"/>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1.《吉林省主体功能区规划》中的农产品主产区。</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 位于吉林省中部，省会长春市东南部，总面积1677.42平方公里。辖4个街道、3个镇、1个乡，总人口39.3万人。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着力打造以绿色食品供应中心、高端产业聚集中心、健康养生旅居中心、美丽乡村示范中心为主的长春城市副中心，加快形成区域竞争新优势，为长春现代化都市圈建设提供重要支撑。</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坚持以奢岭、双营为龙头带动，鹿乡为特色补充，加速资源整合、优势互补、协调发展，加快主导产业集群集聚，推动奢新南北线、中德工业园规划路等基础设施建设，逐步把副中心核心区打造成长双一体发展的重要节点。</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扬尘污染</w:t>
            </w:r>
            <w:r>
              <w:rPr>
                <w:rFonts w:hint="eastAsia" w:ascii="Times New Roman" w:hAnsi="Times New Roman" w:eastAsia="仿宋" w:cs="Times New Roman"/>
                <w:kern w:val="0"/>
                <w:szCs w:val="21"/>
                <w:highlight w:val="none"/>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1.重点保护</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吉林九台湿地省级自然保护区、吉林吊水壶国家级森林公园、吉林吊水壶国家级森林公园、吉林八大部－净月潭国家级风景名胜区、长春市石头口门水库饮用水水源保护区、黑土地资源</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2.重点解决问题</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（1）控制非煤矿山扬尘污染。</w:t>
            </w:r>
          </w:p>
          <w:p>
            <w:pPr>
              <w:rPr>
                <w:rFonts w:ascii="Times New Roman" w:hAnsi="Times New Roman" w:eastAsia="仿宋" w:cs="Times New Roman"/>
                <w:kern w:val="0"/>
                <w:szCs w:val="21"/>
                <w:highlight w:val="none"/>
              </w:rPr>
            </w:pPr>
            <w:r>
              <w:rPr>
                <w:rFonts w:ascii="Times New Roman" w:hAnsi="Times New Roman" w:eastAsia="仿宋" w:cs="Times New Roman"/>
                <w:kern w:val="0"/>
                <w:szCs w:val="21"/>
                <w:highlight w:val="none"/>
              </w:rPr>
              <w:t>（</w:t>
            </w:r>
            <w:r>
              <w:rPr>
                <w:rFonts w:hint="eastAsia" w:ascii="Times New Roman" w:hAnsi="Times New Roman" w:eastAsia="仿宋" w:cs="Times New Roman"/>
                <w:kern w:val="0"/>
                <w:szCs w:val="21"/>
                <w:highlight w:val="none"/>
              </w:rPr>
              <w:t>2</w:t>
            </w:r>
            <w:r>
              <w:rPr>
                <w:rFonts w:ascii="Times New Roman" w:hAnsi="Times New Roman" w:eastAsia="仿宋" w:cs="Times New Roman"/>
                <w:kern w:val="0"/>
                <w:szCs w:val="21"/>
                <w:highlight w:val="none"/>
              </w:rPr>
              <w:t>）确保人类开发活动不挤占耕地。</w:t>
            </w:r>
          </w:p>
        </w:tc>
      </w:tr>
    </w:tbl>
    <w:p>
      <w:pPr>
        <w:pStyle w:val="18"/>
        <w:rPr>
          <w:rFonts w:ascii="Times New Roman" w:hAnsi="Times New Roman" w:eastAsia="仿宋" w:cs="Times New Roman"/>
          <w:b/>
          <w:highlight w:val="none"/>
        </w:rPr>
      </w:pPr>
    </w:p>
    <w:p>
      <w:pPr>
        <w:jc w:val="center"/>
        <w:rPr>
          <w:rFonts w:ascii="Times New Roman" w:hAnsi="Times New Roman" w:eastAsia="仿宋" w:cs="Times New Roman"/>
          <w:b/>
          <w:highlight w:val="none"/>
        </w:rPr>
      </w:pPr>
      <w:bookmarkStart w:id="42" w:name="_Toc27572342"/>
      <w:r>
        <w:rPr>
          <w:rFonts w:ascii="Times New Roman" w:hAnsi="Times New Roman" w:eastAsia="仿宋" w:cs="Times New Roman"/>
          <w:b/>
          <w:highlight w:val="none"/>
        </w:rPr>
        <w:t>表4-8-2长春市双阳区生态环境准入清单</w:t>
      </w:r>
      <w:bookmarkEnd w:id="42"/>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80"/>
        <w:gridCol w:w="2339"/>
        <w:gridCol w:w="1624"/>
        <w:gridCol w:w="1717"/>
        <w:gridCol w:w="9578"/>
        <w:gridCol w:w="3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环境管控单元编码</w:t>
            </w:r>
          </w:p>
        </w:tc>
        <w:tc>
          <w:tcPr>
            <w:tcW w:w="553" w:type="pct"/>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环境管控单元名称</w:t>
            </w:r>
          </w:p>
        </w:tc>
        <w:tc>
          <w:tcPr>
            <w:tcW w:w="384"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管控单元分类</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管控类型</w:t>
            </w:r>
          </w:p>
        </w:tc>
        <w:tc>
          <w:tcPr>
            <w:tcW w:w="226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管控要求</w:t>
            </w:r>
          </w:p>
        </w:tc>
        <w:tc>
          <w:tcPr>
            <w:tcW w:w="923"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ZH22011210001</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吉林九台湿地省级自然保护区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2生态保护红线内自然保护区执行《中华人民共和国自然保护区条例》相关要求。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生态保护红线、大气环境优先保护区、水环境优先保护区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ZH22011210002</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吉林吊水壶国家级森林公园</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2生态保护红线内国家级森林公园执行《国家级自然公园管理办法（试行）》相关要求。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ZH22011210003</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吉林吊水壶国家级森林公园</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2国家级森林公园执行《国家级自然公园管理办法（试行）》相关要求。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ZH22011210004</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长春市石头口门水库饮用水水源保护区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ZH22011210005</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长春市石头口门水库饮用水水源保护区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一般生态空间、水环境优先保护区、农用地优先保护区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ZH22011210006</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双阳区黑土地保护区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农用地优先保护区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ZH22011210007</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双阳区莲花山区水源涵养功能生态保护红线</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2生态保护红线内饮用水水源保护区执行《中华人民共和国水污染防治法》《饮用水水源保护区污染防治管理规定》《吉林省城镇饮用水水源保护条例》相关要求。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生态保护红线、水环境优先保护区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水源涵养、饮用水水源保护区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ZH22011210008</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双阳区水土保持功能生态保护红线</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原则上按禁止开发区域的要求进行管理，执行</w:t>
            </w:r>
            <w:r>
              <w:rPr>
                <w:rFonts w:hint="eastAsia" w:ascii="Times New Roman" w:hAnsi="Times New Roman" w:eastAsia="仿宋" w:cs="Times New Roman"/>
                <w:sz w:val="20"/>
                <w:szCs w:val="20"/>
                <w:highlight w:val="none"/>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highlight w:val="none"/>
              </w:rPr>
              <w:t>中相关要求。</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生态保护红线</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ZH22011210009</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双阳区水土保持功能重要区</w:t>
            </w:r>
          </w:p>
        </w:tc>
        <w:tc>
          <w:tcPr>
            <w:tcW w:w="384" w:type="pct"/>
            <w:tcBorders>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1原则上按限制开发区域的要求进行管理。避免开发建设活动损害生态服务功能和生态产品质量。</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w:t>
            </w:r>
            <w:r>
              <w:rPr>
                <w:rFonts w:hint="eastAsia" w:ascii="Times New Roman" w:hAnsi="Times New Roman" w:eastAsia="仿宋" w:cs="Times New Roman"/>
                <w:kern w:val="0"/>
                <w:sz w:val="20"/>
                <w:szCs w:val="20"/>
                <w:highlight w:val="none"/>
              </w:rPr>
              <w:t>区内不符合主体功能定位的的现有产业</w:t>
            </w:r>
            <w:r>
              <w:rPr>
                <w:rFonts w:ascii="Times New Roman" w:hAnsi="Times New Roman" w:eastAsia="仿宋" w:cs="Times New Roman"/>
                <w:kern w:val="0"/>
                <w:sz w:val="20"/>
                <w:szCs w:val="20"/>
                <w:highlight w:val="none"/>
              </w:rPr>
              <w:t>，实施搬迁或关闭。对已造成的污染或损害，应限期治理。</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一般生态空间、农用地优先保护区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水土保持、水土流失、黑土地保护区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ZH22011210010</w:t>
            </w:r>
          </w:p>
        </w:tc>
        <w:tc>
          <w:tcPr>
            <w:tcW w:w="553" w:type="pct"/>
            <w:shd w:val="clear" w:color="auto" w:fill="auto"/>
            <w:vAlign w:val="center"/>
          </w:tcPr>
          <w:p>
            <w:pPr>
              <w:widowControl/>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双阳区水土流失敏感区</w:t>
            </w:r>
          </w:p>
        </w:tc>
        <w:tc>
          <w:tcPr>
            <w:tcW w:w="384" w:type="pct"/>
            <w:tcBorders>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1原则上按限制开发区域的要求进行管理。避免开发建设活动损害生态服务功能和生态产品质量。</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4</w:t>
            </w:r>
            <w:r>
              <w:rPr>
                <w:rFonts w:hint="eastAsia" w:ascii="Times New Roman" w:hAnsi="Times New Roman" w:eastAsia="仿宋" w:cs="Times New Roman"/>
                <w:sz w:val="20"/>
                <w:szCs w:val="20"/>
                <w:highlight w:val="none"/>
              </w:rPr>
              <w:t>区内不符合主体功能定位的的现有产业</w:t>
            </w:r>
            <w:r>
              <w:rPr>
                <w:rFonts w:ascii="Times New Roman" w:hAnsi="Times New Roman" w:eastAsia="仿宋" w:cs="Times New Roman"/>
                <w:sz w:val="20"/>
                <w:szCs w:val="20"/>
                <w:highlight w:val="none"/>
              </w:rPr>
              <w:t>，实施搬迁或关闭。对已造成的污染或损害，应限期治理。</w:t>
            </w:r>
          </w:p>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一般生态空间、农用地优先保护区</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保护对象：</w:t>
            </w:r>
            <w:r>
              <w:rPr>
                <w:rFonts w:ascii="Times New Roman" w:hAnsi="Times New Roman" w:eastAsia="仿宋" w:cs="Times New Roman"/>
                <w:sz w:val="20"/>
                <w:szCs w:val="20"/>
                <w:highlight w:val="none"/>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ZH22011220001</w:t>
            </w:r>
          </w:p>
        </w:tc>
        <w:tc>
          <w:tcPr>
            <w:tcW w:w="553"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长春双阳经济开发区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Cs/>
                <w:kern w:val="0"/>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1</w:t>
            </w:r>
            <w:r>
              <w:rPr>
                <w:rFonts w:hint="eastAsia" w:ascii="Times New Roman" w:hAnsi="Times New Roman" w:eastAsia="仿宋" w:cs="Times New Roman"/>
                <w:bCs/>
                <w:kern w:val="0"/>
                <w:sz w:val="20"/>
                <w:szCs w:val="20"/>
                <w:highlight w:val="none"/>
              </w:rPr>
              <w:t>严格落实规划环评及其批复文件环境准入条件</w:t>
            </w:r>
            <w:r>
              <w:rPr>
                <w:rFonts w:ascii="Times New Roman" w:hAnsi="Times New Roman" w:eastAsia="仿宋" w:cs="Times New Roman"/>
                <w:bCs/>
                <w:kern w:val="0"/>
                <w:sz w:val="20"/>
                <w:szCs w:val="20"/>
                <w:highlight w:val="none"/>
              </w:rPr>
              <w:t>。</w:t>
            </w:r>
          </w:p>
          <w:p>
            <w:pPr>
              <w:jc w:val="left"/>
              <w:rPr>
                <w:rFonts w:ascii="Times New Roman" w:hAnsi="Times New Roman" w:eastAsia="仿宋" w:cs="Times New Roman"/>
                <w:bCs/>
                <w:kern w:val="0"/>
                <w:sz w:val="20"/>
                <w:szCs w:val="20"/>
                <w:highlight w:val="none"/>
              </w:rPr>
            </w:pPr>
            <w:r>
              <w:rPr>
                <w:rFonts w:ascii="Times New Roman" w:hAnsi="Times New Roman" w:eastAsia="仿宋" w:cs="Times New Roman"/>
                <w:bCs/>
                <w:kern w:val="0"/>
                <w:sz w:val="20"/>
                <w:szCs w:val="20"/>
                <w:highlight w:val="none"/>
              </w:rPr>
              <w:t>2禁止印染、漂染、造纸、制革、进口废旧物资和工业废弃物的处理，及规模小污染大的项目入区。</w:t>
            </w:r>
          </w:p>
        </w:tc>
        <w:tc>
          <w:tcPr>
            <w:tcW w:w="92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大气环境高排放重点管控区、水环境工业污染重点管控区、建设用地污染风险重点管控区</w:t>
            </w:r>
          </w:p>
          <w:p>
            <w:pPr>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功能定位：</w:t>
            </w:r>
            <w:r>
              <w:rPr>
                <w:rFonts w:ascii="Times New Roman" w:hAnsi="Times New Roman" w:eastAsia="仿宋" w:cs="Times New Roman"/>
                <w:bCs/>
                <w:kern w:val="0"/>
                <w:sz w:val="20"/>
                <w:szCs w:val="20"/>
                <w:highlight w:val="none"/>
              </w:rPr>
              <w:t>“一区”，即一个开发区。“多园” ，即根据产业基础、 未来规划和发展方向， 布局若干个特色产业园区</w:t>
            </w:r>
          </w:p>
          <w:p>
            <w:pPr>
              <w:rPr>
                <w:rFonts w:ascii="Times New Roman" w:hAnsi="Times New Roman" w:eastAsia="仿宋" w:cs="Times New Roman"/>
                <w:bCs/>
                <w:kern w:val="0"/>
                <w:sz w:val="20"/>
                <w:szCs w:val="20"/>
                <w:highlight w:val="none"/>
              </w:rPr>
            </w:pPr>
            <w:r>
              <w:rPr>
                <w:rFonts w:ascii="Times New Roman" w:hAnsi="Times New Roman" w:eastAsia="仿宋" w:cs="Times New Roman"/>
                <w:b/>
                <w:kern w:val="0"/>
                <w:sz w:val="20"/>
                <w:szCs w:val="20"/>
                <w:highlight w:val="none"/>
              </w:rPr>
              <w:t>主导产业：</w:t>
            </w:r>
            <w:r>
              <w:rPr>
                <w:rFonts w:ascii="Times New Roman" w:hAnsi="Times New Roman" w:eastAsia="仿宋" w:cs="Times New Roman"/>
                <w:bCs/>
                <w:kern w:val="0"/>
                <w:sz w:val="20"/>
                <w:szCs w:val="20"/>
                <w:highlight w:val="none"/>
              </w:rPr>
              <w:t>汽车制造、家具制造、装备制造、新型材料、印刷包装、医药制造、保健食品加工、鹿产品深加工为主的新型工业；以休闲文旅、健康养老、购物娱乐为主的现代服务业；以现代都市农业为主的休闲农业。</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sz w:val="20"/>
                <w:szCs w:val="20"/>
                <w:highlight w:val="none"/>
              </w:rPr>
              <w:t>园区规划环评、《污染地块土壤环境管理办法（试行）》《工矿用地土壤环境管理办法（试行）》《企业事业单位突发环境事件应急预案备案管理办法（试行）》《吉林省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53"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污染物排放管控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2重点行业污染治理升级改造，推进各类园区循环化改造。</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highlight w:val="none"/>
              </w:rPr>
            </w:pPr>
            <w:r>
              <w:rPr>
                <w:rFonts w:ascii="Times New Roman" w:hAnsi="Times New Roman" w:eastAsia="仿宋" w:cs="Times New Roman"/>
                <w:kern w:val="0"/>
                <w:sz w:val="20"/>
                <w:szCs w:val="20"/>
                <w:highlight w:val="none"/>
              </w:rPr>
              <w:t>4执行《吉林省新污染物治理实施方案》相关要求，加强新污染物多环境介质协同治理，全面强化清洁生产和绿色制造。</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553" w:type="pct"/>
            <w:vMerge w:val="continue"/>
            <w:shd w:val="clear" w:color="auto" w:fill="auto"/>
            <w:vAlign w:val="center"/>
          </w:tcPr>
          <w:p>
            <w:pPr>
              <w:widowControl/>
              <w:jc w:val="left"/>
              <w:rPr>
                <w:rFonts w:ascii="Times New Roman" w:hAnsi="Times New Roman" w:eastAsia="仿宋" w:cs="Times New Roman"/>
                <w:sz w:val="20"/>
                <w:szCs w:val="20"/>
                <w:highlight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highlight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环境风险防控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3</w:t>
            </w:r>
            <w:r>
              <w:rPr>
                <w:rFonts w:hint="eastAsia" w:ascii="Times New Roman" w:hAnsi="Times New Roman" w:eastAsia="仿宋" w:cs="Times New Roman"/>
                <w:kern w:val="0"/>
                <w:sz w:val="20"/>
                <w:szCs w:val="20"/>
                <w:highlight w:val="none"/>
              </w:rPr>
              <w:t>严格管理涉及易导致环境风险的有毒有害和易燃易爆物质的生产、使用、贮运等新建、改扩建项目</w:t>
            </w:r>
            <w:r>
              <w:rPr>
                <w:rFonts w:ascii="Times New Roman" w:hAnsi="Times New Roman" w:eastAsia="仿宋" w:cs="Times New Roman"/>
                <w:kern w:val="0"/>
                <w:sz w:val="20"/>
                <w:szCs w:val="20"/>
                <w:highlight w:val="none"/>
              </w:rPr>
              <w:t>。</w:t>
            </w:r>
          </w:p>
          <w:p>
            <w:pPr>
              <w:rPr>
                <w:rFonts w:ascii="Times New Roman" w:hAnsi="Times New Roman" w:eastAsia="仿宋" w:cs="Times New Roman"/>
                <w:kern w:val="0"/>
                <w:sz w:val="20"/>
                <w:szCs w:val="20"/>
                <w:highlight w:val="none"/>
              </w:rPr>
            </w:pPr>
            <w:r>
              <w:rPr>
                <w:rFonts w:ascii="Times New Roman" w:hAnsi="Times New Roman" w:eastAsia="仿宋" w:cs="Times New Roman"/>
                <w:kern w:val="0"/>
                <w:sz w:val="20"/>
                <w:szCs w:val="20"/>
                <w:highlight w:val="none"/>
              </w:rPr>
              <w:t>4严格落实规划环评及其批复文件制定的环境风险防范措施。</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资源开发效率</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1推广园区集中供热，园区新建供热设施执行特别排放限值</w:t>
            </w:r>
            <w:r>
              <w:rPr>
                <w:rFonts w:hint="eastAsia" w:ascii="Times New Roman" w:hAnsi="Times New Roman" w:eastAsia="仿宋" w:cs="Times New Roman"/>
                <w:sz w:val="20"/>
                <w:szCs w:val="20"/>
                <w:highlight w:val="none"/>
              </w:rPr>
              <w:t>或按省、市相关文件要求执行排放浓度限值</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2完成吉林省下达的产能置换要求。各产业执行对应的清洁生产标准。</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ZH22011220002</w:t>
            </w:r>
          </w:p>
        </w:tc>
        <w:tc>
          <w:tcPr>
            <w:tcW w:w="553" w:type="pct"/>
            <w:vMerge w:val="restart"/>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双阳区城镇开发边界</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空间布局约束</w:t>
            </w:r>
          </w:p>
        </w:tc>
        <w:tc>
          <w:tcPr>
            <w:tcW w:w="22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城镇居民区、文化教育科学研究区等人口集中区域禁止畜禽养殖场、养殖小区等涉及氨排放的生产生活活动（梅花鹿养殖除外）。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2除在安全或者产业布局等方面有特殊要求的项目外，应避免大规模排放水污染物的项目布局建设。</w:t>
            </w:r>
          </w:p>
        </w:tc>
        <w:tc>
          <w:tcPr>
            <w:tcW w:w="923"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highlight w:val="none"/>
              </w:rPr>
            </w:pPr>
            <w:r>
              <w:rPr>
                <w:rFonts w:ascii="Times New Roman" w:hAnsi="Times New Roman" w:eastAsia="仿宋" w:cs="Times New Roman"/>
                <w:b/>
                <w:kern w:val="0"/>
                <w:sz w:val="20"/>
                <w:szCs w:val="20"/>
                <w:highlight w:val="none"/>
              </w:rPr>
              <w:t>要素分区：</w:t>
            </w:r>
            <w:r>
              <w:rPr>
                <w:rFonts w:ascii="Times New Roman" w:hAnsi="Times New Roman" w:eastAsia="仿宋" w:cs="Times New Roman"/>
                <w:sz w:val="20"/>
                <w:szCs w:val="20"/>
                <w:highlight w:val="none"/>
              </w:rPr>
              <w:t>大气环境受体敏感重点管控区、水环境城镇生活污染重点管控区、建设用地污染风险重点管控区</w:t>
            </w:r>
          </w:p>
          <w:p>
            <w:pPr>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发展定位：</w:t>
            </w:r>
            <w:r>
              <w:rPr>
                <w:rFonts w:ascii="Times New Roman" w:hAnsi="Times New Roman" w:eastAsia="仿宋" w:cs="Times New Roman"/>
                <w:bCs/>
                <w:kern w:val="0"/>
                <w:sz w:val="20"/>
                <w:szCs w:val="20"/>
                <w:highlight w:val="none"/>
              </w:rPr>
              <w:t>长春生态涵养发展区，东北亚休闲康养目的地</w:t>
            </w:r>
            <w:r>
              <w:rPr>
                <w:rFonts w:ascii="Times New Roman" w:hAnsi="Times New Roman" w:eastAsia="仿宋" w:cs="Times New Roman"/>
                <w:b/>
                <w:bCs/>
                <w:sz w:val="20"/>
                <w:szCs w:val="20"/>
                <w:highlight w:val="none"/>
              </w:rPr>
              <w:t xml:space="preserve"> </w:t>
            </w:r>
          </w:p>
          <w:p>
            <w:pPr>
              <w:rPr>
                <w:rFonts w:ascii="Times New Roman" w:hAnsi="Times New Roman" w:eastAsia="仿宋" w:cs="Times New Roman"/>
                <w:b/>
                <w:kern w:val="0"/>
                <w:sz w:val="20"/>
                <w:szCs w:val="20"/>
                <w:highlight w:val="none"/>
              </w:rPr>
            </w:pPr>
            <w:r>
              <w:rPr>
                <w:rFonts w:ascii="Times New Roman" w:hAnsi="Times New Roman" w:eastAsia="仿宋" w:cs="Times New Roman"/>
                <w:b/>
                <w:bCs/>
                <w:sz w:val="20"/>
                <w:szCs w:val="20"/>
                <w:highlight w:val="none"/>
              </w:rPr>
              <w:t>依据：</w:t>
            </w:r>
            <w:r>
              <w:rPr>
                <w:rFonts w:ascii="Times New Roman" w:hAnsi="Times New Roman" w:eastAsia="仿宋" w:cs="Times New Roman"/>
                <w:bCs/>
                <w:sz w:val="20"/>
                <w:szCs w:val="20"/>
                <w:highlight w:val="none"/>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污染物排放管控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highlight w:val="none"/>
              </w:rPr>
              <w:t>加强对餐饮服务业油烟污染监管</w:t>
            </w:r>
            <w:r>
              <w:rPr>
                <w:rFonts w:ascii="Times New Roman" w:hAnsi="Times New Roman" w:eastAsia="仿宋" w:cs="Times New Roman"/>
                <w:sz w:val="20"/>
                <w:szCs w:val="20"/>
                <w:highlight w:val="none"/>
              </w:rPr>
              <w:t>，强化对加油站、储油库、油罐车等油气回收设施运行监管。</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highlight w:val="none"/>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环境风险防控</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highlight w:val="none"/>
              </w:rPr>
            </w:pPr>
            <w:r>
              <w:rPr>
                <w:rFonts w:ascii="Times New Roman" w:hAnsi="Times New Roman" w:eastAsia="仿宋" w:cs="Times New Roman"/>
                <w:sz w:val="20"/>
                <w:szCs w:val="20"/>
                <w:highlight w:val="none"/>
              </w:rPr>
              <w:t>1</w:t>
            </w:r>
            <w:r>
              <w:rPr>
                <w:rFonts w:hint="eastAsia" w:ascii="Times New Roman" w:hAnsi="Times New Roman" w:eastAsia="仿宋" w:cs="Times New Roman"/>
                <w:sz w:val="20"/>
                <w:szCs w:val="20"/>
                <w:highlight w:val="none"/>
              </w:rPr>
              <w:t>严格管理涉及易导致环境风险的有毒有害和易燃易爆物质的生产、使用、贮运等新建、改扩建项目</w:t>
            </w:r>
            <w:r>
              <w:rPr>
                <w:rFonts w:ascii="Times New Roman" w:hAnsi="Times New Roman" w:eastAsia="仿宋" w:cs="Times New Roman"/>
                <w:sz w:val="20"/>
                <w:szCs w:val="20"/>
                <w:highlight w:val="none"/>
              </w:rPr>
              <w:t>。</w:t>
            </w:r>
          </w:p>
          <w:p>
            <w:pPr>
              <w:jc w:val="left"/>
              <w:rPr>
                <w:rFonts w:ascii="Times New Roman" w:hAnsi="Times New Roman" w:eastAsia="仿宋" w:cs="Times New Roman"/>
                <w:b/>
                <w:kern w:val="0"/>
                <w:sz w:val="20"/>
                <w:szCs w:val="20"/>
                <w:highlight w:val="none"/>
              </w:rPr>
            </w:pPr>
            <w:r>
              <w:rPr>
                <w:rFonts w:ascii="Times New Roman" w:hAnsi="Times New Roman" w:eastAsia="仿宋" w:cs="Times New Roman"/>
                <w:sz w:val="20"/>
                <w:szCs w:val="20"/>
                <w:highlight w:val="none"/>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6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ZH22011220003</w:t>
            </w:r>
          </w:p>
        </w:tc>
        <w:tc>
          <w:tcPr>
            <w:tcW w:w="5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双阳区大气环境高排放重点管控区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2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基于“三线”研究成果提出，结合《污染地块土壤环境管理办法（试行）》《吉林省生态环境保护“十四五”规划》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ZH22011220004</w:t>
            </w:r>
          </w:p>
        </w:tc>
        <w:tc>
          <w:tcPr>
            <w:tcW w:w="5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双阳区大气环境布局敏感重点管控区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2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大气环境布局敏感重点管控区、水环境农业污染重点管控区</w:t>
            </w:r>
          </w:p>
          <w:p>
            <w:pPr>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ZH22011220005</w:t>
            </w:r>
          </w:p>
        </w:tc>
        <w:tc>
          <w:tcPr>
            <w:tcW w:w="5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双阳区大气环境弱扩散重点管控区</w:t>
            </w:r>
          </w:p>
        </w:tc>
        <w:tc>
          <w:tcPr>
            <w:tcW w:w="38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2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基于“三线”研究成果，结合《中共吉林省委 吉林省人民政府关于深入打好污染防治攻坚战的实施意见》《吉林省减污降碳协同增效实施方案》《吉林省 “十四五”节能减排综合实施方案》《吉林省生态环境保护“十四五”规划》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468" w:type="pct"/>
            <w:vMerge w:val="continue"/>
            <w:shd w:val="clear" w:color="auto" w:fill="auto"/>
            <w:vAlign w:val="center"/>
          </w:tcPr>
          <w:p>
            <w:pPr>
              <w:widowControl/>
              <w:jc w:val="left"/>
              <w:rPr>
                <w:rFonts w:ascii="Times New Roman" w:hAnsi="Times New Roman" w:eastAsia="仿宋" w:cs="Times New Roman"/>
                <w:sz w:val="20"/>
                <w:szCs w:val="20"/>
              </w:rPr>
            </w:pPr>
          </w:p>
        </w:tc>
        <w:tc>
          <w:tcPr>
            <w:tcW w:w="553" w:type="pct"/>
            <w:vMerge w:val="continue"/>
            <w:shd w:val="clear" w:color="auto" w:fill="auto"/>
            <w:vAlign w:val="center"/>
          </w:tcPr>
          <w:p>
            <w:pPr>
              <w:widowControl/>
              <w:jc w:val="left"/>
              <w:rPr>
                <w:rFonts w:ascii="Times New Roman" w:hAnsi="Times New Roman" w:eastAsia="仿宋" w:cs="Times New Roman"/>
                <w:sz w:val="20"/>
                <w:szCs w:val="20"/>
              </w:rPr>
            </w:pPr>
          </w:p>
        </w:tc>
        <w:tc>
          <w:tcPr>
            <w:tcW w:w="38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ZH22011220006</w:t>
            </w:r>
          </w:p>
        </w:tc>
        <w:tc>
          <w:tcPr>
            <w:tcW w:w="55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双阳区水环境农业污染重点管控区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ZH22011230001</w:t>
            </w:r>
          </w:p>
        </w:tc>
        <w:tc>
          <w:tcPr>
            <w:tcW w:w="55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双阳区一般管控区</w:t>
            </w:r>
          </w:p>
        </w:tc>
        <w:tc>
          <w:tcPr>
            <w:tcW w:w="38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6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color w:val="FF0000"/>
        </w:rPr>
      </w:pPr>
    </w:p>
    <w:p>
      <w:pPr>
        <w:keepNext/>
        <w:keepLines/>
        <w:outlineLvl w:val="1"/>
        <w:rPr>
          <w:rFonts w:ascii="Times New Roman" w:hAnsi="Times New Roman" w:eastAsia="仿宋" w:cs="Times New Roman"/>
          <w:b/>
          <w:bCs/>
          <w:sz w:val="32"/>
          <w:szCs w:val="32"/>
        </w:rPr>
      </w:pPr>
      <w:bookmarkStart w:id="43" w:name="_Toc27572328"/>
      <w:bookmarkStart w:id="44" w:name="_Toc7498"/>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七</w:t>
      </w:r>
      <w:r>
        <w:rPr>
          <w:rFonts w:ascii="Times New Roman" w:hAnsi="Times New Roman" w:eastAsia="仿宋" w:cs="Times New Roman"/>
          <w:b/>
          <w:bCs/>
          <w:sz w:val="32"/>
          <w:szCs w:val="32"/>
        </w:rPr>
        <w:t>）长春市九台区</w:t>
      </w:r>
      <w:bookmarkEnd w:id="43"/>
      <w:r>
        <w:rPr>
          <w:rFonts w:ascii="Times New Roman" w:hAnsi="Times New Roman" w:eastAsia="仿宋" w:cs="Times New Roman"/>
          <w:b/>
          <w:bCs/>
          <w:sz w:val="32"/>
          <w:szCs w:val="32"/>
        </w:rPr>
        <w:t>生态环境准入清单</w:t>
      </w:r>
      <w:bookmarkEnd w:id="44"/>
    </w:p>
    <w:p>
      <w:pPr>
        <w:jc w:val="center"/>
        <w:rPr>
          <w:rFonts w:ascii="Times New Roman" w:hAnsi="Times New Roman" w:eastAsia="仿宋" w:cs="Times New Roman"/>
          <w:b/>
        </w:rPr>
      </w:pPr>
      <w:bookmarkStart w:id="45" w:name="_Toc27572329"/>
      <w:r>
        <w:rPr>
          <w:rFonts w:ascii="Times New Roman" w:hAnsi="Times New Roman" w:eastAsia="仿宋" w:cs="Times New Roman"/>
          <w:b/>
        </w:rPr>
        <w:t>表4-4-1长春市九台区区域特征研判</w:t>
      </w:r>
      <w:bookmarkEnd w:id="45"/>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位于吉林省中部，伊通河上游，省会长春市东北部，是长春市东大门，总面积3375.27平方公里。辖11个街道、4个镇和2个民族乡。</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将九台打造成为“一带一路”对外开放的功能区、哈长城市群长吉发展带的核心区、长春新区服务业的保障区、东北亚精优农产品的供给区、创新转型发展的示范区，全面提升九台核心竞争力。</w:t>
            </w:r>
          </w:p>
          <w:p>
            <w:pPr>
              <w:rPr>
                <w:rFonts w:ascii="Times New Roman" w:hAnsi="Times New Roman" w:eastAsia="仿宋" w:cs="Times New Roman"/>
                <w:kern w:val="0"/>
                <w:szCs w:val="21"/>
              </w:rPr>
            </w:pPr>
            <w:r>
              <w:rPr>
                <w:rFonts w:ascii="Times New Roman" w:hAnsi="Times New Roman" w:eastAsia="仿宋" w:cs="Times New Roman"/>
                <w:kern w:val="0"/>
                <w:szCs w:val="21"/>
              </w:rPr>
              <w:t>着力打造长春市副中心城市，提升行政、商务、金融、信息等综合服务功能，大力发展商贸服务产业，积极培育高端商务、现代物流产业、现代通信产业、房地产和互联网产业，提高城市的产业支撑能力。发挥农村金融改革试验区的先行先试优势，把九台城区打造成中国北方农村金融中心。</w:t>
            </w:r>
          </w:p>
          <w:p>
            <w:pPr>
              <w:rPr>
                <w:rFonts w:ascii="Times New Roman" w:hAnsi="Times New Roman" w:eastAsia="仿宋" w:cs="Times New Roman"/>
                <w:kern w:val="0"/>
                <w:szCs w:val="21"/>
              </w:rPr>
            </w:pPr>
            <w:r>
              <w:rPr>
                <w:rFonts w:ascii="Times New Roman" w:hAnsi="Times New Roman" w:eastAsia="仿宋" w:cs="Times New Roman"/>
                <w:kern w:val="0"/>
                <w:szCs w:val="21"/>
              </w:rPr>
              <w:t>重点发展煤炭、建材和食品加工业，推进循环经济发展，打造接续产业、能源产业等特色产业园区。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畜禽养殖污染</w:t>
            </w:r>
            <w:r>
              <w:rPr>
                <w:rFonts w:hint="eastAsia" w:ascii="Times New Roman" w:hAnsi="Times New Roman" w:eastAsia="仿宋" w:cs="Times New Roman"/>
                <w:kern w:val="0"/>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国家级公益林、吉林九台湿地省级自然保护区、长春市石头口门水库生活饮用水水源地、沐石河水功能区一级区保护区、黑土地资源</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（2）治理畜禽养殖业。</w:t>
            </w:r>
            <w:r>
              <w:rPr>
                <w:rFonts w:hint="eastAsia" w:ascii="Times New Roman" w:hAnsi="Times New Roman" w:eastAsia="仿宋" w:cs="Times New Roman"/>
                <w:kern w:val="0"/>
                <w:szCs w:val="21"/>
              </w:rPr>
              <w:t>/</w:t>
            </w:r>
          </w:p>
        </w:tc>
      </w:tr>
    </w:tbl>
    <w:p>
      <w:pPr>
        <w:pStyle w:val="18"/>
        <w:rPr>
          <w:rFonts w:ascii="Times New Roman" w:hAnsi="Times New Roman" w:eastAsia="仿宋" w:cs="Times New Roman"/>
          <w:b/>
        </w:rPr>
      </w:pPr>
    </w:p>
    <w:p>
      <w:pPr>
        <w:jc w:val="center"/>
        <w:rPr>
          <w:rFonts w:ascii="Times New Roman" w:hAnsi="Times New Roman" w:eastAsia="仿宋" w:cs="Times New Roman"/>
          <w:b/>
        </w:rPr>
      </w:pPr>
      <w:bookmarkStart w:id="46" w:name="_Toc27572330"/>
      <w:r>
        <w:rPr>
          <w:rFonts w:ascii="Times New Roman" w:hAnsi="Times New Roman" w:eastAsia="仿宋" w:cs="Times New Roman"/>
          <w:b/>
        </w:rPr>
        <w:t>表4-4-2长春市九台区生态环境准入清单</w:t>
      </w:r>
      <w:bookmarkEnd w:id="46"/>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29"/>
        <w:gridCol w:w="2157"/>
        <w:gridCol w:w="1671"/>
        <w:gridCol w:w="1861"/>
        <w:gridCol w:w="9560"/>
        <w:gridCol w:w="39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5"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4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6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7"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ZH22011310001</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吉林九台湿地省级自然保护区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自然保护区、饮用水源地保护区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ZH22011310002</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长春市石头口门水库饮用水水源保护区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ZH22011310003</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长春市石头口门水库饮用水水源保护区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饮用水源地保护区、黑土地保护区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ZH22011310004</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九台区国家级公益林</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ZH22011310005</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沐石河水功能区一级区保护区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2黑土地保护区执行《中华人民共和国黑土地保护法》《吉林省黑土地保护条例》相关要求。大力推广秸秆深翻还田、增施有机肥和机械深松等技术，有效利用畜禽粪便资源。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ZH22011310006</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九台区黑土地保护区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ZH22011310007</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九台区防风固沙功能重要区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6黑土地保护区执行《吉林省黑土地保护条例》相关要求。推广秸秆还田、机械深松、施用有机肥、土壤养分调控等技术；推行“一翻两免”耕作技术模式；建立农牧结合、种养循环试点，有效利用畜禽粪便资源。</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ZH22011310008</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九台区中部台地水土保持功能生态保护红线</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ZH22011310009</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九台区松嫩平原水土保持功能生态保护红线</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ZH22011320001</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中韩（长春）国际合作示范区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高端装备和智能制造、信息技术、医药、健康食品、特色服务、氢能产业、新能源电池、秸秆产业</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ZH22011320002</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长春空港经济开发区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bCs/>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autoSpaceDE w:val="0"/>
              <w:autoSpaceDN w:val="0"/>
              <w:adjustRightInd w:val="0"/>
              <w:jc w:val="left"/>
              <w:rPr>
                <w:rFonts w:ascii="Times New Roman" w:hAnsi="Times New Roman" w:eastAsia="仿宋" w:cs="Times New Roman"/>
                <w:sz w:val="20"/>
                <w:szCs w:val="20"/>
              </w:rPr>
            </w:pPr>
            <w:r>
              <w:rPr>
                <w:rFonts w:ascii="Times New Roman" w:hAnsi="Times New Roman" w:eastAsia="仿宋" w:cs="Times New Roman"/>
                <w:sz w:val="20"/>
                <w:szCs w:val="20"/>
              </w:rPr>
              <w:t>1禁止污染严重的工业类项目入区。</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2严格限制存放有毒有害物质的仓储物流项目入区。</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集空港配套仓储物流、现代服务业、生态居住、体验式主题购物、康体养生与休闲旅游为一体的长吉一体化区域中的空港新城</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航空物流业、冰雪体育装备制造业、光电信息产业——集成电路、环保装备制造、现代服务业、生物医药。</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园区规划环评、结合《企业事业单位突发环境事件应急预案备案管理办法（试行）》《中共吉林省委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ZH22011320003</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长春九台经济开发区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autoSpaceDE w:val="0"/>
              <w:autoSpaceDN w:val="0"/>
              <w:adjustRightInd w:val="0"/>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autoSpaceDE w:val="0"/>
              <w:autoSpaceDN w:val="0"/>
              <w:adjustRightInd w:val="0"/>
              <w:jc w:val="left"/>
              <w:rPr>
                <w:rFonts w:ascii="Times New Roman" w:hAnsi="Times New Roman" w:eastAsia="仿宋" w:cs="Times New Roman"/>
                <w:sz w:val="20"/>
                <w:szCs w:val="20"/>
              </w:rPr>
            </w:pPr>
            <w:r>
              <w:rPr>
                <w:rFonts w:ascii="Times New Roman" w:hAnsi="Times New Roman" w:eastAsia="仿宋" w:cs="Times New Roman"/>
                <w:sz w:val="20"/>
                <w:szCs w:val="20"/>
              </w:rPr>
              <w:t>2禁止以下行业项目入区：纸浆制造、造纸（含废纸造纸）项目；水泥制造项目；焦化冶金项目；制革、毛皮鞣制、电镀等小型项目；印染和纺织项目；含蚕蛹废水、精炼废水等的丝绸项目；固体废物集中焚烧项目</w:t>
            </w:r>
            <w:r>
              <w:rPr>
                <w:rFonts w:hint="eastAsia" w:ascii="Times New Roman" w:hAnsi="Times New Roman" w:eastAsia="仿宋" w:cs="Times New Roman"/>
                <w:sz w:val="20"/>
                <w:szCs w:val="20"/>
              </w:rPr>
              <w:t>。</w:t>
            </w:r>
          </w:p>
        </w:tc>
        <w:tc>
          <w:tcPr>
            <w:tcW w:w="937"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
                <w:bCs/>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将建成为一个集居住、工业、生态景观区为一体的生态新城，将大大的促进区域经济发展，对加快长东北区域开发建设、加速长吉图经济带发展，都将起到积极的促进作用。</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现代装备制造产业、食品加工产业、医药健康产业、新兴建材、新材料、新能源等</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ZH22011320004</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长春北湖科技开发区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含双对氯苯基三氯乙烷、三丁基锡、全氟辛酸及其盐类、全氟辛烷磺酸、红丹等有害物质的涂料；含苯类、苯酚、苯甲醛和二（三）氯甲烷的脱漆剂，立德粉，聚氯乙烯建筑防水接缝材料(焦油型)的化工材料产业。</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4禁止新建高毒、高残留以及对环境影响大的农药原药生产装置产业。</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5禁止造成恶臭污染的橡胶和塑料制品业及重金属污染的铅蓄电池行业。</w:t>
            </w:r>
          </w:p>
        </w:tc>
        <w:tc>
          <w:tcPr>
            <w:tcW w:w="937"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积极培养先进装备制造、生物与医药、光电子、新材料新能源、精优食品加工和现代服务业，精心打造战略性新兴产业集聚地，建设成为全省创新驱动现行区和生态绿色示范区。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园区规划环评、结合《污染地块土壤环境管理办法（试行）》《土壤污染防治行动计划》《工矿用地土壤环境管理办法（试行）》《企业事业单位突发环境事件应急预案备案管理办法（试行）》《吉林省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b/>
                <w:kern w:val="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b/>
                <w:kern w:val="0"/>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ZH22011320005</w:t>
            </w:r>
          </w:p>
        </w:tc>
        <w:tc>
          <w:tcPr>
            <w:tcW w:w="510"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九台区城镇开发边界</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大力发展装备制造、农副产品加工产业和旅游休闲产业；改善人居环境，加强基础设施配套，提升城区综合发展能力。</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sz w:val="20"/>
                <w:szCs w:val="20"/>
              </w:rPr>
              <w:t>《关于开展畜禽养殖禁养区划定工作的通知》《畜禽规模养殖污染防治条例》《污染地块土壤环境管理办法（试行）》《工矿用地土壤环境管理办法（试行）》《中共吉林省委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ZH22011320006</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九台区大气环境高排放重点管控区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基于“三线”研究成果提出，结合《中共吉林省委 吉林省人民政府关于深入打好污染防治攻坚战的实施意见》《吉林省减污降碳协同增效实施方案》《吉林省 “十四五”节能减排综合实施方案》《吉林省生态环境保护“十四五”规划》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ZH22011320007</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九台区大气环境弱扩散重点管控区</w:t>
            </w:r>
          </w:p>
        </w:tc>
        <w:tc>
          <w:tcPr>
            <w:tcW w:w="39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37"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大气环境弱扩散重点管控区、水环境农业污染重点管控区、建设用地污染风险重点管控区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39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ZH22011320008</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吉林桦皮厂地热重点矿区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4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56"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ZH22011330001</w:t>
            </w:r>
          </w:p>
        </w:tc>
        <w:tc>
          <w:tcPr>
            <w:tcW w:w="510"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九台区一般管控区</w:t>
            </w:r>
          </w:p>
        </w:tc>
        <w:tc>
          <w:tcPr>
            <w:tcW w:w="39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4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37"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rPr>
      </w:pPr>
    </w:p>
    <w:p>
      <w:pPr>
        <w:keepNext/>
        <w:keepLines/>
        <w:outlineLvl w:val="1"/>
        <w:rPr>
          <w:rFonts w:ascii="Times New Roman" w:hAnsi="Times New Roman" w:eastAsia="仿宋" w:cs="Times New Roman"/>
          <w:b/>
          <w:bCs/>
          <w:sz w:val="32"/>
          <w:szCs w:val="32"/>
        </w:rPr>
      </w:pPr>
      <w:bookmarkStart w:id="47" w:name="_Toc30214"/>
      <w:bookmarkStart w:id="48" w:name="_Toc27572346"/>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八</w:t>
      </w:r>
      <w:r>
        <w:rPr>
          <w:rFonts w:ascii="Times New Roman" w:hAnsi="Times New Roman" w:eastAsia="仿宋" w:cs="Times New Roman"/>
          <w:b/>
          <w:bCs/>
          <w:sz w:val="32"/>
          <w:szCs w:val="32"/>
        </w:rPr>
        <w:t>）长春市农安县生态环境准入清单</w:t>
      </w:r>
      <w:bookmarkEnd w:id="47"/>
    </w:p>
    <w:p>
      <w:pPr>
        <w:jc w:val="center"/>
        <w:rPr>
          <w:rFonts w:ascii="Times New Roman" w:hAnsi="Times New Roman" w:eastAsia="仿宋" w:cs="Times New Roman"/>
          <w:b/>
        </w:rPr>
      </w:pPr>
      <w:bookmarkStart w:id="49" w:name="_Toc27572338"/>
      <w:r>
        <w:rPr>
          <w:rFonts w:ascii="Times New Roman" w:hAnsi="Times New Roman" w:eastAsia="仿宋" w:cs="Times New Roman"/>
          <w:b/>
        </w:rPr>
        <w:t>表4-7-1长春市农安县区域特征研判</w:t>
      </w:r>
      <w:bookmarkEnd w:id="49"/>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吉林省省级全域旅游示范区。</w:t>
            </w:r>
          </w:p>
          <w:p>
            <w:pPr>
              <w:rPr>
                <w:rFonts w:ascii="Times New Roman" w:hAnsi="Times New Roman" w:eastAsia="仿宋" w:cs="Times New Roman"/>
                <w:kern w:val="0"/>
                <w:szCs w:val="21"/>
              </w:rPr>
            </w:pPr>
            <w:r>
              <w:rPr>
                <w:rFonts w:ascii="Times New Roman" w:hAnsi="Times New Roman" w:eastAsia="仿宋" w:cs="Times New Roman"/>
                <w:kern w:val="0"/>
                <w:szCs w:val="21"/>
              </w:rPr>
              <w:t>2.位于吉林省中部，省会长春市北面，总面积5400平方公里。辖</w:t>
            </w:r>
            <w:r>
              <w:rPr>
                <w:rFonts w:hint="eastAsia" w:ascii="Times New Roman" w:hAnsi="Times New Roman" w:eastAsia="仿宋" w:cs="Times New Roman"/>
                <w:kern w:val="0"/>
                <w:szCs w:val="21"/>
              </w:rPr>
              <w:t>1</w:t>
            </w:r>
            <w:r>
              <w:rPr>
                <w:rFonts w:ascii="Times New Roman" w:hAnsi="Times New Roman" w:eastAsia="仿宋" w:cs="Times New Roman"/>
                <w:kern w:val="0"/>
                <w:szCs w:val="21"/>
              </w:rPr>
              <w:t>个省级</w:t>
            </w:r>
            <w:r>
              <w:rPr>
                <w:rFonts w:hint="eastAsia" w:ascii="Times New Roman" w:hAnsi="Times New Roman" w:eastAsia="仿宋" w:cs="Times New Roman"/>
                <w:kern w:val="0"/>
                <w:szCs w:val="21"/>
              </w:rPr>
              <w:t>开发区</w:t>
            </w:r>
            <w:r>
              <w:rPr>
                <w:rFonts w:ascii="Times New Roman" w:hAnsi="Times New Roman" w:eastAsia="仿宋" w:cs="Times New Roman"/>
                <w:kern w:val="0"/>
                <w:szCs w:val="21"/>
              </w:rPr>
              <w:t>，22个乡</w:t>
            </w:r>
            <w:r>
              <w:rPr>
                <w:rFonts w:hint="eastAsia" w:ascii="Times New Roman" w:hAnsi="Times New Roman" w:eastAsia="仿宋" w:cs="Times New Roman"/>
                <w:kern w:val="0"/>
                <w:szCs w:val="21"/>
              </w:rPr>
              <w:t>镇</w:t>
            </w:r>
            <w:r>
              <w:rPr>
                <w:rFonts w:ascii="Times New Roman" w:hAnsi="Times New Roman" w:eastAsia="仿宋" w:cs="Times New Roman"/>
                <w:kern w:val="0"/>
                <w:szCs w:val="21"/>
              </w:rPr>
              <w:t>，377个行政村。</w:t>
            </w:r>
          </w:p>
          <w:p>
            <w:pPr>
              <w:rPr>
                <w:rFonts w:ascii="Times New Roman" w:hAnsi="Times New Roman" w:eastAsia="仿宋" w:cs="Times New Roman"/>
                <w:kern w:val="0"/>
                <w:szCs w:val="21"/>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全面推进产出高效、产品安全、资源节约、环境友好的农业现代化，实现全县农业产业化、机械化、科技化、生态化、信息化发展，成为全国现代牧业强县、国家粮食安全保障示范县、现代农业发展的排头兵与示范区，在全省率先实现农业现代化。</w:t>
            </w:r>
          </w:p>
          <w:p>
            <w:pPr>
              <w:rPr>
                <w:rFonts w:ascii="Times New Roman" w:hAnsi="Times New Roman" w:eastAsia="仿宋" w:cs="Times New Roman"/>
                <w:kern w:val="0"/>
                <w:szCs w:val="21"/>
              </w:rPr>
            </w:pPr>
            <w:r>
              <w:rPr>
                <w:rFonts w:ascii="Times New Roman" w:hAnsi="Times New Roman" w:eastAsia="仿宋" w:cs="Times New Roman"/>
                <w:kern w:val="0"/>
                <w:szCs w:val="21"/>
              </w:rPr>
              <w:t>提升农产品加工和装备制造两大支柱产业的支撑能力，推动石油化工、生物医药、生物质资源利用、新型建材、新能源等重点产业链向上下游环节延伸，重点打造四大传统产业制造基地和三大新兴产业基地，推动重点园区转型升级，促进工业化与信息化深度融合，推动工业高端化、智能化、精细化、绿色化、集群化发展，提升工业发展能级。</w:t>
            </w:r>
          </w:p>
          <w:p>
            <w:pPr>
              <w:rPr>
                <w:rFonts w:ascii="Times New Roman" w:hAnsi="Times New Roman" w:eastAsia="仿宋" w:cs="Times New Roman"/>
                <w:kern w:val="0"/>
                <w:szCs w:val="21"/>
              </w:rPr>
            </w:pPr>
            <w:r>
              <w:rPr>
                <w:rFonts w:ascii="Times New Roman" w:hAnsi="Times New Roman" w:eastAsia="仿宋" w:cs="Times New Roman"/>
                <w:kern w:val="0"/>
                <w:szCs w:val="21"/>
              </w:rPr>
              <w:t>打造区域性商贸物流中心，统筹商贸服务、餐饮住宿、居民服务等传统服务业发展，积极培育农业服务、现代物流、电子商务、职业教育培训等新兴服务业，构建“一核、三带、多节点”的服务业空间布局体系，促进服务业全面发展繁荣。</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草场退化、沙化和土壤盐化；</w:t>
            </w:r>
          </w:p>
          <w:p>
            <w:pPr>
              <w:rPr>
                <w:rFonts w:ascii="Times New Roman" w:hAnsi="Times New Roman" w:eastAsia="仿宋" w:cs="Times New Roman"/>
                <w:kern w:val="0"/>
                <w:szCs w:val="21"/>
              </w:rPr>
            </w:pPr>
            <w:r>
              <w:rPr>
                <w:rFonts w:ascii="Times New Roman" w:hAnsi="Times New Roman" w:eastAsia="仿宋" w:cs="Times New Roman"/>
                <w:kern w:val="0"/>
                <w:szCs w:val="21"/>
              </w:rPr>
              <w:t>湿地功能退化；畜禽养殖污染。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农安两家子水库、吉林波罗湖国家级自然保护区</w:t>
            </w:r>
          </w:p>
          <w:p>
            <w:pPr>
              <w:rPr>
                <w:rFonts w:ascii="Times New Roman" w:hAnsi="Times New Roman" w:eastAsia="仿宋" w:cs="Times New Roman"/>
                <w:kern w:val="0"/>
                <w:szCs w:val="21"/>
              </w:rPr>
            </w:pPr>
            <w:r>
              <w:rPr>
                <w:rFonts w:ascii="Times New Roman" w:hAnsi="Times New Roman" w:eastAsia="仿宋" w:cs="Times New Roman"/>
                <w:kern w:val="0"/>
                <w:szCs w:val="21"/>
              </w:rPr>
              <w:t>吉林农安太平池国家湿地自然公园、吉林农安松花江省级湿地自然公园、黑土地资源、国家级公益林</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w:t>
            </w:r>
            <w:r>
              <w:rPr>
                <w:rFonts w:hint="eastAsia" w:ascii="Times New Roman" w:hAnsi="Times New Roman" w:eastAsia="仿宋" w:cs="Times New Roman"/>
                <w:kern w:val="0"/>
                <w:szCs w:val="21"/>
              </w:rPr>
              <w:t>2</w:t>
            </w:r>
            <w:r>
              <w:rPr>
                <w:rFonts w:ascii="Times New Roman" w:hAnsi="Times New Roman" w:eastAsia="仿宋" w:cs="Times New Roman"/>
                <w:kern w:val="0"/>
                <w:szCs w:val="21"/>
              </w:rPr>
              <w:t>）加强草原、湿地、盐碱地的修复和保护。</w:t>
            </w:r>
          </w:p>
          <w:p>
            <w:pPr>
              <w:rPr>
                <w:rFonts w:ascii="Times New Roman" w:hAnsi="Times New Roman" w:eastAsia="仿宋" w:cs="Times New Roman"/>
                <w:kern w:val="0"/>
                <w:szCs w:val="21"/>
              </w:rPr>
            </w:pPr>
            <w:r>
              <w:rPr>
                <w:rFonts w:ascii="Times New Roman" w:hAnsi="Times New Roman" w:eastAsia="仿宋" w:cs="Times New Roman"/>
                <w:kern w:val="0"/>
                <w:szCs w:val="21"/>
              </w:rPr>
              <w:t>（</w:t>
            </w:r>
            <w:r>
              <w:rPr>
                <w:rFonts w:hint="eastAsia" w:ascii="Times New Roman" w:hAnsi="Times New Roman" w:eastAsia="仿宋" w:cs="Times New Roman"/>
                <w:kern w:val="0"/>
                <w:szCs w:val="21"/>
              </w:rPr>
              <w:t>3</w:t>
            </w:r>
            <w:r>
              <w:rPr>
                <w:rFonts w:ascii="Times New Roman" w:hAnsi="Times New Roman" w:eastAsia="仿宋" w:cs="Times New Roman"/>
                <w:kern w:val="0"/>
                <w:szCs w:val="21"/>
              </w:rPr>
              <w:t>）加强农村环境综合整治。</w:t>
            </w:r>
          </w:p>
        </w:tc>
      </w:tr>
    </w:tbl>
    <w:p>
      <w:pPr>
        <w:pStyle w:val="18"/>
        <w:rPr>
          <w:rFonts w:ascii="Times New Roman" w:hAnsi="Times New Roman" w:eastAsia="仿宋" w:cs="Times New Roman"/>
          <w:b/>
        </w:rPr>
      </w:pPr>
    </w:p>
    <w:p>
      <w:pPr>
        <w:jc w:val="center"/>
        <w:rPr>
          <w:rFonts w:ascii="Times New Roman" w:hAnsi="Times New Roman" w:eastAsia="仿宋" w:cs="Times New Roman"/>
          <w:b/>
        </w:rPr>
      </w:pPr>
      <w:bookmarkStart w:id="50" w:name="_Toc27572339"/>
      <w:r>
        <w:rPr>
          <w:rFonts w:ascii="Times New Roman" w:hAnsi="Times New Roman" w:eastAsia="仿宋" w:cs="Times New Roman"/>
          <w:b/>
        </w:rPr>
        <w:t>表4-7-2长春市农安县生态环境准入清单</w:t>
      </w:r>
      <w:bookmarkEnd w:id="50"/>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15"/>
        <w:gridCol w:w="2234"/>
        <w:gridCol w:w="1747"/>
        <w:gridCol w:w="1887"/>
        <w:gridCol w:w="9436"/>
        <w:gridCol w:w="40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28"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3"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3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51"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ZH22012210001</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吉林波罗湖国家级自然保护区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2生态保护红线内自然保护区执行《中华人民共和国自然保护区条例》相关要求。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ZH22012210002</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吉林扶余洪泛湿地省级自然保护区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2生态保护红线内自然保护区执行《中华人民共和国自然保护区条例》相关要求。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ZH22012210003</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吉林农安太平池国家湿地公园</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ZH22012210004</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吉林农安松花江省级湿地公园</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2生态保护红线内湿地公园执行《中华人民共和国湿地保护法》《湿地保护管理规定》《吉林省湿地保护条例》《关于特别是作为水禽栖息地的国际重要湿地公约》相关要求。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ZH22012210005</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农安县两家子水库生活饮用水水源保护区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ZH22012210006</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农安县国家级公益林</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国家级公益林、防风固沙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ZH22012210007</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农安县黑土地保护区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ZH22012210008</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农安县水源涵养功能重要区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7原则上不再新建各类产业园区，严禁随意扩大现有产业园区范围。以工业为主的产业园区应加快完成园区的循环化改造，鼓励推进低消耗、可循环、少排放的生态型工业区建设。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8</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9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ZH22012210009</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农安县中部台地水土保持功能生态保护红线</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ZH22012210010</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农安县水土保持功能重要区</w:t>
            </w:r>
          </w:p>
        </w:tc>
        <w:tc>
          <w:tcPr>
            <w:tcW w:w="413"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ZH22012210011</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农安县水土流失敏感区</w:t>
            </w:r>
          </w:p>
        </w:tc>
        <w:tc>
          <w:tcPr>
            <w:tcW w:w="413"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ZH22012210012</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农安县土地沙化敏感区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4禁止发展高耗水工业。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7黑土地保护区执行《吉林省黑土地保护条例》相关要求。推广秸秆还田、机械深松、施用有机肥、土壤养分调控等技术；推行“一翻两免”耕作技术模式；建立农牧结合、种养循环试点，有效利用畜禽粪便资源。</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水土流失、盐渍化、土地沙化、黑土地保护区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ZH22012210013</w:t>
            </w:r>
          </w:p>
        </w:tc>
        <w:tc>
          <w:tcPr>
            <w:tcW w:w="52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农安县盐渍化敏感区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2禁止发展高耗水工业。</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盐渍化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29"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ZH22012220001</w:t>
            </w:r>
          </w:p>
        </w:tc>
        <w:tc>
          <w:tcPr>
            <w:tcW w:w="528"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长春农安经济开发区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1禁止新建高毒、高残留以及对环境影响大的农药原药生产装置企业。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2严禁高污染、高风险项目，或对周围可能造成较大影响，且无法采取有效环保措施、风险防范措施的企业入区；严格限制高耗水、高耗能、高污染企业入区。</w:t>
            </w:r>
          </w:p>
        </w:tc>
        <w:tc>
          <w:tcPr>
            <w:tcW w:w="951"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建设以农副产品加工、石油化工、食品化工、新能源、商贸物流、智能装备制造、家居建材、医药健康、废弃资源利用为主的产业园区。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以装备制造、家居建材、医药健康、农副产品加工、食品制造、新能源、废弃资源利用、仓储物流产业为主导产业。</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2"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3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高污染燃料目录》中的第Ⅱ类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p>
            <w:pPr>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ZH22012220002</w:t>
            </w:r>
          </w:p>
        </w:tc>
        <w:tc>
          <w:tcPr>
            <w:tcW w:w="528"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农安县城镇开发边界</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b/>
                <w:kern w:val="0"/>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51"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sz w:val="20"/>
                <w:szCs w:val="20"/>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禁燃区内禁止燃用的高污染燃料按照《高污染燃料目录》中的第Ⅱ类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ZH22012220003</w:t>
            </w:r>
          </w:p>
        </w:tc>
        <w:tc>
          <w:tcPr>
            <w:tcW w:w="52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农安县大气环境高排放重点管控区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大气环境高排放重点管控区、水环境农业污染重点管控区、建设用地污染风险重点管控区、高污染燃料禁燃区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基于“三线”研究成果，结合《中共吉林省委 吉林省人民政府关于深入打好污染防治攻坚战的实施意见》《吉林省减污降碳协同增效实施方案》《吉林省 “十四五”节能减排综合实施方案》《吉林省生态环境保护“十四五”规划》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禁燃区内禁止燃用的高污染燃料按照《高污染燃料目录》中的第Ⅱ类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ZH22012220004</w:t>
            </w:r>
          </w:p>
        </w:tc>
        <w:tc>
          <w:tcPr>
            <w:tcW w:w="52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农安县大气环境布局敏感重点管控区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w:t>
            </w:r>
          </w:p>
          <w:p>
            <w:pPr>
              <w:jc w:val="left"/>
              <w:rPr>
                <w:rFonts w:ascii="Times New Roman" w:hAnsi="Times New Roman" w:eastAsia="仿宋" w:cs="Times New Roman"/>
                <w:b/>
                <w:bCs/>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ZH22012220005</w:t>
            </w:r>
          </w:p>
        </w:tc>
        <w:tc>
          <w:tcPr>
            <w:tcW w:w="52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农安县大气环境弱扩散重点管控区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51"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大气环境弱扩散重点管控区、水环境农业污染重点管控区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ZH22012220006</w:t>
            </w:r>
          </w:p>
        </w:tc>
        <w:tc>
          <w:tcPr>
            <w:tcW w:w="52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农安县水环境农业污染重点管控区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51"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水环境农业污染重点管控区、建设用地污染风险重点管控区、高污染燃料禁燃区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vMerge w:val="continue"/>
            <w:shd w:val="clear" w:color="auto" w:fill="auto"/>
            <w:vAlign w:val="center"/>
          </w:tcPr>
          <w:p>
            <w:pPr>
              <w:widowControl/>
              <w:jc w:val="left"/>
              <w:rPr>
                <w:rFonts w:ascii="Times New Roman" w:hAnsi="Times New Roman" w:eastAsia="仿宋" w:cs="Times New Roman"/>
                <w:sz w:val="20"/>
                <w:szCs w:val="20"/>
              </w:rPr>
            </w:pPr>
          </w:p>
        </w:tc>
        <w:tc>
          <w:tcPr>
            <w:tcW w:w="528"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禁燃区内禁止燃用的高污染燃料按照《高污染燃料目录》中的第Ⅱ类执行；.禁止企业事业单位、其他生产经营者销售、燃用高污染燃料和新建、改建、扩建燃用高污染燃料的设施。鼓励禁燃区内居民生活使用清洁能源；鼓励支持生物质燃料专用锅炉和生物质气化供热项目实施超低排放改造、燃气锅炉实施低氮燃烧技术改造、轻质柴油燃用设施改用电能。</w:t>
            </w:r>
          </w:p>
        </w:tc>
        <w:tc>
          <w:tcPr>
            <w:tcW w:w="951"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ZH22012230001</w:t>
            </w:r>
          </w:p>
        </w:tc>
        <w:tc>
          <w:tcPr>
            <w:tcW w:w="52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农安县一般管控区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44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3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51"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rPr>
      </w:pPr>
    </w:p>
    <w:p>
      <w:pPr>
        <w:keepNext/>
        <w:keepLines/>
        <w:outlineLvl w:val="1"/>
        <w:rPr>
          <w:rFonts w:ascii="Times New Roman" w:hAnsi="Times New Roman" w:eastAsia="仿宋" w:cs="Times New Roman"/>
          <w:b/>
          <w:bCs/>
          <w:sz w:val="32"/>
          <w:szCs w:val="32"/>
        </w:rPr>
      </w:pPr>
      <w:bookmarkStart w:id="51" w:name="_Toc10589"/>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九</w:t>
      </w:r>
      <w:r>
        <w:rPr>
          <w:rFonts w:ascii="Times New Roman" w:hAnsi="Times New Roman" w:eastAsia="仿宋" w:cs="Times New Roman"/>
          <w:b/>
          <w:bCs/>
          <w:sz w:val="32"/>
          <w:szCs w:val="32"/>
        </w:rPr>
        <w:t>）长春市榆树市</w:t>
      </w:r>
      <w:bookmarkEnd w:id="48"/>
      <w:r>
        <w:rPr>
          <w:rFonts w:ascii="Times New Roman" w:hAnsi="Times New Roman" w:eastAsia="仿宋" w:cs="Times New Roman"/>
          <w:b/>
          <w:bCs/>
          <w:sz w:val="32"/>
          <w:szCs w:val="32"/>
        </w:rPr>
        <w:t>生态环境准入清单</w:t>
      </w:r>
      <w:bookmarkEnd w:id="51"/>
    </w:p>
    <w:p>
      <w:pPr>
        <w:jc w:val="center"/>
        <w:rPr>
          <w:rFonts w:ascii="Times New Roman" w:hAnsi="Times New Roman" w:eastAsia="仿宋" w:cs="Times New Roman"/>
          <w:b/>
        </w:rPr>
      </w:pPr>
      <w:bookmarkStart w:id="52" w:name="_Toc27572347"/>
      <w:r>
        <w:rPr>
          <w:rFonts w:ascii="Times New Roman" w:hAnsi="Times New Roman" w:eastAsia="仿宋" w:cs="Times New Roman"/>
          <w:b/>
        </w:rPr>
        <w:t>表4-10-1长春市榆树市区域特征研判</w:t>
      </w:r>
      <w:bookmarkEnd w:id="52"/>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《吉林省主体功能区规划》中的农产品主产区。</w:t>
            </w:r>
          </w:p>
          <w:p>
            <w:pPr>
              <w:rPr>
                <w:rFonts w:ascii="Times New Roman" w:hAnsi="Times New Roman" w:eastAsia="仿宋" w:cs="Times New Roman"/>
                <w:kern w:val="0"/>
                <w:szCs w:val="21"/>
              </w:rPr>
            </w:pPr>
            <w:r>
              <w:rPr>
                <w:rFonts w:hint="eastAsia" w:ascii="Times New Roman" w:hAnsi="Times New Roman" w:eastAsia="仿宋" w:cs="Times New Roman"/>
                <w:kern w:val="0"/>
                <w:szCs w:val="21"/>
              </w:rPr>
              <w:t>榆树市</w:t>
            </w:r>
            <w:r>
              <w:rPr>
                <w:rFonts w:ascii="Times New Roman" w:hAnsi="Times New Roman" w:eastAsia="仿宋" w:cs="Times New Roman"/>
                <w:kern w:val="0"/>
                <w:szCs w:val="21"/>
              </w:rPr>
              <w:t>总面积为4712平方千米，辖1个省级开发区，24个乡镇、4个街道办事处。</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建设哈长城市群区域性中心城市。</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部分地表水体超标；</w:t>
            </w:r>
          </w:p>
          <w:p>
            <w:pPr>
              <w:rPr>
                <w:rFonts w:ascii="Times New Roman" w:hAnsi="Times New Roman" w:eastAsia="仿宋" w:cs="Times New Roman"/>
                <w:kern w:val="0"/>
                <w:szCs w:val="21"/>
              </w:rPr>
            </w:pPr>
            <w:r>
              <w:rPr>
                <w:rFonts w:ascii="Times New Roman" w:hAnsi="Times New Roman" w:eastAsia="仿宋" w:cs="Times New Roman"/>
                <w:kern w:val="0"/>
                <w:szCs w:val="21"/>
              </w:rPr>
              <w:t>草场退化、沙化和土壤盐化。</w:t>
            </w:r>
          </w:p>
          <w:p>
            <w:pPr>
              <w:rPr>
                <w:rFonts w:ascii="Times New Roman" w:hAnsi="Times New Roman" w:eastAsia="仿宋" w:cs="Times New Roman"/>
                <w:kern w:val="0"/>
                <w:szCs w:val="21"/>
              </w:rPr>
            </w:pP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国家级公益林、吉林榆树花园山省级森林公园、黑土地资源</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kern w:val="0"/>
                <w:szCs w:val="21"/>
              </w:rPr>
            </w:pPr>
            <w:r>
              <w:rPr>
                <w:rFonts w:ascii="Times New Roman" w:hAnsi="Times New Roman" w:eastAsia="仿宋" w:cs="Times New Roman"/>
                <w:kern w:val="0"/>
                <w:szCs w:val="21"/>
              </w:rPr>
              <w:t>（</w:t>
            </w:r>
            <w:r>
              <w:rPr>
                <w:rFonts w:hint="eastAsia" w:ascii="Times New Roman" w:hAnsi="Times New Roman" w:eastAsia="仿宋" w:cs="Times New Roman"/>
                <w:kern w:val="0"/>
                <w:szCs w:val="21"/>
              </w:rPr>
              <w:t>2</w:t>
            </w:r>
            <w:r>
              <w:rPr>
                <w:rFonts w:ascii="Times New Roman" w:hAnsi="Times New Roman" w:eastAsia="仿宋" w:cs="Times New Roman"/>
                <w:kern w:val="0"/>
                <w:szCs w:val="21"/>
              </w:rPr>
              <w:t>）确保人类开发活动不挤占耕地。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w:t>
            </w:r>
            <w:r>
              <w:rPr>
                <w:rFonts w:hint="eastAsia" w:ascii="Times New Roman" w:hAnsi="Times New Roman" w:eastAsia="仿宋" w:cs="Times New Roman"/>
                <w:kern w:val="0"/>
                <w:szCs w:val="21"/>
              </w:rPr>
              <w:t>3</w:t>
            </w:r>
            <w:r>
              <w:rPr>
                <w:rFonts w:ascii="Times New Roman" w:hAnsi="Times New Roman" w:eastAsia="仿宋" w:cs="Times New Roman"/>
                <w:kern w:val="0"/>
                <w:szCs w:val="21"/>
              </w:rPr>
              <w:t>）减少生产建设活动对植被、地表的破坏。</w:t>
            </w:r>
          </w:p>
        </w:tc>
      </w:tr>
    </w:tbl>
    <w:p>
      <w:pPr>
        <w:pStyle w:val="18"/>
        <w:rPr>
          <w:rFonts w:ascii="Times New Roman" w:hAnsi="Times New Roman" w:eastAsia="仿宋" w:cs="Times New Roman"/>
          <w:b/>
        </w:rPr>
      </w:pPr>
    </w:p>
    <w:p>
      <w:pPr>
        <w:jc w:val="center"/>
        <w:rPr>
          <w:rFonts w:ascii="Times New Roman" w:hAnsi="Times New Roman" w:eastAsia="仿宋" w:cs="Times New Roman"/>
          <w:b/>
          <w:szCs w:val="21"/>
        </w:rPr>
      </w:pPr>
      <w:bookmarkStart w:id="53" w:name="_Toc27572348"/>
      <w:r>
        <w:rPr>
          <w:rFonts w:ascii="Times New Roman" w:hAnsi="Times New Roman" w:eastAsia="仿宋" w:cs="Times New Roman"/>
          <w:b/>
          <w:szCs w:val="21"/>
        </w:rPr>
        <w:t>表4-10-2长春市榆树市生态环境准入清单</w:t>
      </w:r>
      <w:bookmarkEnd w:id="53"/>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1"/>
        <w:gridCol w:w="2018"/>
        <w:gridCol w:w="1587"/>
        <w:gridCol w:w="1718"/>
        <w:gridCol w:w="9977"/>
        <w:gridCol w:w="39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477"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75"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5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4"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ZH22018210001</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吉林榆树花园山省级森林公园</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ZH22018210002</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榆树市国家级公益林</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ZH22018210003</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榆树市黑土地保护区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ZH22018210004</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榆树市水源涵养功能重要区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8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ZH22018210005</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榆树市防风固沙重要区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ZH22018210006</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榆树市水土流失敏感区</w:t>
            </w:r>
          </w:p>
        </w:tc>
        <w:tc>
          <w:tcPr>
            <w:tcW w:w="375"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ZH22018220001</w:t>
            </w:r>
          </w:p>
        </w:tc>
        <w:tc>
          <w:tcPr>
            <w:tcW w:w="47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长春榆树经济开发区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1严格控制高污染行业发展。</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2严格落实规划环评及其批复文件环境准入条件。</w:t>
            </w:r>
          </w:p>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3禁止在化工园区外新建、扩建化工项目，未纳入国家《石化产业规划布局方案》的新建炼化项目一律不得建设。</w:t>
            </w:r>
          </w:p>
        </w:tc>
        <w:tc>
          <w:tcPr>
            <w:tcW w:w="934"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 xml:space="preserve">经济快速发展，基础设施与公共服务设施高度完善，景观独具特色，环境良好，经济可持续发展的工业新区。 </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生物化工、医药化工、绿色食品、资源综合利用、新能源产业、氢能产业、农副食品加工业、食品制造业、酒、饮料和精制茶制造业，建材、机械制造业。以仓储物流、加工、展销及商服为配套构建产业发展体系</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园区规划环评、基于“三线”研究成果，结合《污染地块土壤环境管理办法（试行）》《工矿用地土壤环境管理办法（试行）》《企业事业单位突发环境事件应急预案备案管理办法（试行）》《吉林省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35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35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ZH22018220002</w:t>
            </w:r>
          </w:p>
        </w:tc>
        <w:tc>
          <w:tcPr>
            <w:tcW w:w="47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榆树市城镇开发边界</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大气环境受体敏感重点管控区、水环境城镇生活污染重点管控区、水环境质量不达标重点管控区、建设用地污染风险重点管控区、高污染燃料禁燃区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发展定位：</w:t>
            </w:r>
            <w:r>
              <w:rPr>
                <w:rFonts w:ascii="Times New Roman" w:hAnsi="Times New Roman" w:eastAsia="仿宋" w:cs="Times New Roman"/>
                <w:bCs/>
                <w:kern w:val="0"/>
                <w:sz w:val="20"/>
                <w:szCs w:val="20"/>
              </w:rPr>
              <w:t>深入实施“一主三线五基”发展战略（即建设哈长城市群区域性中心城市；农业立市、工业强市、服务业兴市；国家现代农业示范基地、国家农产品加工基地、中国（榆树）北方酒业基地、中国北方蔬菜生产基地、中国北方现代商贸物流基地）</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w:t>
            </w:r>
            <w:r>
              <w:rPr>
                <w:rFonts w:ascii="Times New Roman" w:hAnsi="Times New Roman" w:eastAsia="仿宋" w:cs="Times New Roman"/>
                <w:bCs/>
                <w:kern w:val="0"/>
                <w:sz w:val="20"/>
                <w:szCs w:val="20"/>
              </w:rPr>
              <w:t>《中共吉林省委 吉林省人民政府关于深入打好污染防治攻坚战的实施意见》《吉林省减污降碳协同增效实施方案》《吉林省 “十四五”节能减排综合实施方案》《长春市人民政府关于划定高污染燃料禁燃区的通告》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p>
            <w:pPr>
              <w:rPr>
                <w:rFonts w:ascii="Times New Roman" w:hAnsi="Times New Roman" w:eastAsia="仿宋" w:cs="Times New Roman"/>
                <w:sz w:val="20"/>
                <w:szCs w:val="20"/>
              </w:rPr>
            </w:pPr>
            <w:r>
              <w:rPr>
                <w:rFonts w:ascii="Times New Roman" w:hAnsi="Times New Roman" w:eastAsia="仿宋" w:cs="Times New Roman"/>
                <w:sz w:val="20"/>
                <w:szCs w:val="20"/>
              </w:rPr>
              <w:t>2未完成水环境质量改善目标要求的地区，暂停审批新增重点水污染物排放总量的建设项目。新建、改建、扩建重点行业建设项目应提出有效的区域削减方案，主要污染物实行区域倍量削减。</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禁燃区内禁止燃用的高污染燃料按照《高污染燃料目录》中的第Ⅱ类执行；禁燃区内禁止新建、扩建单台额定功率20蒸吨/小时（14MW/小时）以下燃用高污染燃料的锅炉、窑炉等燃烧设施；在集中供热管网或燃气管网覆盖范围内的单台出力小于20蒸吨/小时（14MW/小时）的锅炉、窑炉等燃用髙污染燃料设施，应当改用集中供热或者改用天然气、电等清洁能源；未在集中供热管网或燃气管网覆盖范围内的，可以改用生物质成型燃料或其他清洁能源。</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ZH22018220003</w:t>
            </w:r>
          </w:p>
        </w:tc>
        <w:tc>
          <w:tcPr>
            <w:tcW w:w="47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榆树市大气环境高排放重点管控区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ZH22018220004</w:t>
            </w:r>
          </w:p>
        </w:tc>
        <w:tc>
          <w:tcPr>
            <w:tcW w:w="47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榆树市大气环境弱扩散重点管控区</w:t>
            </w:r>
          </w:p>
        </w:tc>
        <w:tc>
          <w:tcPr>
            <w:tcW w:w="375"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3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大气环境弱扩散重点管控区、水环境质量不达标重点管控区、水环境风险重点管控区、水环境农业污染重点管控区、建设用地污染风险重点管控区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4未完成水环境质量改善目标要求的地区，暂停审批新增重点水污染物排放总量的建设项目。新建、改建、扩建重点行业建设项目应提出有效的区域削减方案，主要污染物实行区域倍量削减。</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vMerge w:val="continue"/>
            <w:shd w:val="clear" w:color="auto" w:fill="auto"/>
            <w:vAlign w:val="center"/>
          </w:tcPr>
          <w:p>
            <w:pPr>
              <w:widowControl/>
              <w:jc w:val="left"/>
              <w:rPr>
                <w:rFonts w:ascii="Times New Roman" w:hAnsi="Times New Roman" w:eastAsia="仿宋" w:cs="Times New Roman"/>
                <w:sz w:val="20"/>
                <w:szCs w:val="20"/>
              </w:rPr>
            </w:pPr>
          </w:p>
        </w:tc>
        <w:tc>
          <w:tcPr>
            <w:tcW w:w="477" w:type="pct"/>
            <w:vMerge w:val="continue"/>
            <w:shd w:val="clear" w:color="auto" w:fill="auto"/>
            <w:vAlign w:val="center"/>
          </w:tcPr>
          <w:p>
            <w:pPr>
              <w:widowControl/>
              <w:jc w:val="left"/>
              <w:rPr>
                <w:rFonts w:ascii="Times New Roman" w:hAnsi="Times New Roman" w:eastAsia="仿宋" w:cs="Times New Roman"/>
                <w:sz w:val="20"/>
                <w:szCs w:val="20"/>
              </w:rPr>
            </w:pPr>
          </w:p>
        </w:tc>
        <w:tc>
          <w:tcPr>
            <w:tcW w:w="375"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3研究建立统筹水环境、水资源和水生态监测评价体系，对重要江河湖库开展水生态环境评价预警。</w:t>
            </w:r>
          </w:p>
        </w:tc>
        <w:tc>
          <w:tcPr>
            <w:tcW w:w="93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ZH22018220005</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榆树市水环境农业污染重点管控区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水环境农业污染重点管控区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ZH22018220006</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榆树市水环境质量不达标重点管控区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未完成水环境质量改善目标要求的地区，暂停审批新增重点水污染物排放总量的建设项目。新建、改建、扩建重点行业建设项目应提出有效的区域削减方案，主要污染物实行区域倍量削减。</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水环境质量不达标重点管控区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ZH22018220007</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榆树市水环境风险重点管控区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1研究建立统筹水环境、水资源和水生态监测评价体系，对重要江河湖库开展水生态环境评价预警。</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2建设和完善城乡污水处理设施及配套管网工程，定期排查和不定期抽查工业企业排污情况。加强污水管网提升改造建设，提高城镇生活污水集中处理率。</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 xml:space="preserve">基于“三线”研究成果提出，《吉林省“十四五” 重点流域水生态环境保护规划》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ZH22018230001</w:t>
            </w:r>
          </w:p>
        </w:tc>
        <w:tc>
          <w:tcPr>
            <w:tcW w:w="47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榆树市一般管控区</w:t>
            </w:r>
          </w:p>
        </w:tc>
        <w:tc>
          <w:tcPr>
            <w:tcW w:w="375"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4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5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3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color w:val="FF0000"/>
        </w:rPr>
      </w:pPr>
    </w:p>
    <w:p>
      <w:pPr>
        <w:rPr>
          <w:rFonts w:ascii="Times New Roman" w:hAnsi="Times New Roman" w:eastAsia="仿宋" w:cs="Times New Roman"/>
          <w:color w:val="FF0000"/>
          <w:szCs w:val="24"/>
        </w:rPr>
      </w:pPr>
    </w:p>
    <w:p>
      <w:pPr>
        <w:keepNext/>
        <w:keepLines/>
        <w:outlineLvl w:val="1"/>
        <w:rPr>
          <w:rFonts w:ascii="Times New Roman" w:hAnsi="Times New Roman" w:eastAsia="仿宋" w:cs="Times New Roman"/>
          <w:b/>
          <w:bCs/>
          <w:sz w:val="32"/>
          <w:szCs w:val="32"/>
        </w:rPr>
      </w:pPr>
      <w:bookmarkStart w:id="54" w:name="_Toc10404"/>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十</w:t>
      </w:r>
      <w:r>
        <w:rPr>
          <w:rFonts w:ascii="Times New Roman" w:hAnsi="Times New Roman" w:eastAsia="仿宋" w:cs="Times New Roman"/>
          <w:b/>
          <w:bCs/>
          <w:sz w:val="32"/>
          <w:szCs w:val="32"/>
        </w:rPr>
        <w:t>）长春市德惠市</w:t>
      </w:r>
      <w:bookmarkEnd w:id="32"/>
      <w:r>
        <w:rPr>
          <w:rFonts w:ascii="Times New Roman" w:hAnsi="Times New Roman" w:eastAsia="仿宋" w:cs="Times New Roman"/>
          <w:b/>
          <w:bCs/>
          <w:sz w:val="32"/>
          <w:szCs w:val="32"/>
        </w:rPr>
        <w:t>生态环境准入清单</w:t>
      </w:r>
      <w:bookmarkEnd w:id="54"/>
    </w:p>
    <w:p>
      <w:pPr>
        <w:jc w:val="center"/>
        <w:rPr>
          <w:rFonts w:ascii="Times New Roman" w:hAnsi="Times New Roman" w:eastAsia="仿宋" w:cs="Times New Roman"/>
          <w:b/>
        </w:rPr>
      </w:pPr>
      <w:bookmarkStart w:id="55" w:name="_Toc27572323"/>
      <w:r>
        <w:rPr>
          <w:rFonts w:ascii="Times New Roman" w:hAnsi="Times New Roman" w:eastAsia="仿宋" w:cs="Times New Roman"/>
          <w:b/>
        </w:rPr>
        <w:t>表4-2-1长春市德惠市区域特征研判</w:t>
      </w:r>
      <w:bookmarkEnd w:id="55"/>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《吉林省主体功能区规划》中的农产品主产区。</w:t>
            </w:r>
          </w:p>
          <w:p>
            <w:pPr>
              <w:rPr>
                <w:rFonts w:ascii="Times New Roman" w:hAnsi="Times New Roman" w:eastAsia="仿宋" w:cs="Times New Roman"/>
                <w:kern w:val="0"/>
              </w:rPr>
            </w:pPr>
            <w:r>
              <w:rPr>
                <w:rFonts w:ascii="Times New Roman" w:hAnsi="Times New Roman" w:eastAsia="仿宋" w:cs="Times New Roman"/>
                <w:kern w:val="0"/>
              </w:rPr>
              <w:t>德惠总面积3322平方公里，辖12个镇、4个乡、4个街道办事处。</w:t>
            </w:r>
          </w:p>
          <w:p>
            <w:pPr>
              <w:rPr>
                <w:rFonts w:ascii="Times New Roman" w:hAnsi="Times New Roman" w:eastAsia="仿宋" w:cs="Times New Roman"/>
                <w:kern w:val="0"/>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抢抓国家确定的“哈长地区逐步发展形成城市群”的机遇，依托哈大复合交通走廊构建的一级城镇经济发展轴，不断完善和提升整体功能，打造现代高品质新型产业高地，强势推进城乡建设，建设成为哈长城市群重要节点城市。</w:t>
            </w:r>
          </w:p>
          <w:p>
            <w:pPr>
              <w:rPr>
                <w:rFonts w:ascii="Times New Roman" w:hAnsi="Times New Roman" w:eastAsia="仿宋" w:cs="Times New Roman"/>
                <w:bCs/>
                <w:kern w:val="0"/>
              </w:rPr>
            </w:pPr>
            <w:r>
              <w:rPr>
                <w:rFonts w:ascii="Times New Roman" w:hAnsi="Times New Roman" w:eastAsia="仿宋" w:cs="Times New Roman"/>
                <w:bCs/>
                <w:kern w:val="0"/>
              </w:rPr>
              <w:t>立足丰富的农畜产品资源，依托现有龙头企业，弘扬绿色、安全、营养、健康理念，加大农产品品牌培育力度，生产更多绿色、有机、生态食品，扩大市场份额，建设成为全国知名绿色食品生态城。</w:t>
            </w:r>
          </w:p>
          <w:p>
            <w:pPr>
              <w:rPr>
                <w:rFonts w:ascii="Times New Roman" w:hAnsi="Times New Roman" w:eastAsia="仿宋" w:cs="Times New Roman"/>
                <w:bCs/>
                <w:kern w:val="0"/>
              </w:rPr>
            </w:pPr>
            <w:r>
              <w:rPr>
                <w:rFonts w:ascii="Times New Roman" w:hAnsi="Times New Roman" w:eastAsia="仿宋" w:cs="Times New Roman"/>
                <w:bCs/>
                <w:kern w:val="0"/>
              </w:rPr>
              <w:t>立足资源条件和产业基础，以国能生物发电等项目为依托，大力发展秸秆造纸、秸秆发电、环保建材等生态环保产业，实现产业之间低碳环保模式的经济循环，建设成为全省低碳循环经济发展示范城。</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沙化和土壤盐化；</w:t>
            </w:r>
          </w:p>
          <w:p>
            <w:pPr>
              <w:rPr>
                <w:rFonts w:ascii="Times New Roman" w:hAnsi="Times New Roman" w:eastAsia="仿宋" w:cs="Times New Roman"/>
                <w:bCs/>
                <w:kern w:val="0"/>
              </w:rPr>
            </w:pPr>
            <w:r>
              <w:rPr>
                <w:rFonts w:ascii="Times New Roman" w:hAnsi="Times New Roman" w:eastAsia="仿宋" w:cs="Times New Roman"/>
                <w:bCs/>
                <w:kern w:val="0"/>
              </w:rPr>
              <w:t>畜禽养殖污染。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1.重点保护：黑土地资源，吉林大白水省级湿地自然公园，国家级公益林</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（1）确保人类开发活动不挤占耕地。</w:t>
            </w:r>
          </w:p>
          <w:p>
            <w:pPr>
              <w:rPr>
                <w:rFonts w:ascii="Times New Roman" w:hAnsi="Times New Roman" w:eastAsia="仿宋" w:cs="Times New Roman"/>
                <w:bCs/>
                <w:kern w:val="0"/>
              </w:rPr>
            </w:pPr>
            <w:r>
              <w:rPr>
                <w:rFonts w:ascii="Times New Roman" w:hAnsi="Times New Roman" w:eastAsia="仿宋" w:cs="Times New Roman"/>
                <w:bCs/>
                <w:kern w:val="0"/>
              </w:rPr>
              <w:t>（</w:t>
            </w:r>
            <w:r>
              <w:rPr>
                <w:rFonts w:hint="eastAsia" w:ascii="Times New Roman" w:hAnsi="Times New Roman" w:eastAsia="仿宋" w:cs="Times New Roman"/>
                <w:bCs/>
                <w:kern w:val="0"/>
              </w:rPr>
              <w:t>2</w:t>
            </w:r>
            <w:r>
              <w:rPr>
                <w:rFonts w:ascii="Times New Roman" w:hAnsi="Times New Roman" w:eastAsia="仿宋" w:cs="Times New Roman"/>
                <w:bCs/>
                <w:kern w:val="0"/>
              </w:rPr>
              <w:t>）加强沙地、盐碱地的修复和保护</w:t>
            </w:r>
          </w:p>
          <w:p>
            <w:pPr>
              <w:rPr>
                <w:rFonts w:ascii="Times New Roman" w:hAnsi="Times New Roman" w:eastAsia="仿宋" w:cs="Times New Roman"/>
                <w:bCs/>
                <w:kern w:val="0"/>
              </w:rPr>
            </w:pPr>
            <w:r>
              <w:rPr>
                <w:rFonts w:ascii="Times New Roman" w:hAnsi="Times New Roman" w:eastAsia="仿宋" w:cs="Times New Roman"/>
                <w:bCs/>
                <w:kern w:val="0"/>
              </w:rPr>
              <w:t>（</w:t>
            </w:r>
            <w:r>
              <w:rPr>
                <w:rFonts w:hint="eastAsia" w:ascii="Times New Roman" w:hAnsi="Times New Roman" w:eastAsia="仿宋" w:cs="Times New Roman"/>
                <w:bCs/>
                <w:kern w:val="0"/>
              </w:rPr>
              <w:t>3</w:t>
            </w:r>
            <w:r>
              <w:rPr>
                <w:rFonts w:ascii="Times New Roman" w:hAnsi="Times New Roman" w:eastAsia="仿宋" w:cs="Times New Roman"/>
                <w:bCs/>
                <w:kern w:val="0"/>
              </w:rPr>
              <w:t>）加强农村环境综合整治。</w:t>
            </w:r>
          </w:p>
        </w:tc>
      </w:tr>
    </w:tbl>
    <w:p>
      <w:pPr>
        <w:pStyle w:val="18"/>
        <w:ind w:left="0" w:leftChars="0" w:firstLine="0"/>
        <w:rPr>
          <w:rFonts w:ascii="Times New Roman" w:hAnsi="Times New Roman" w:eastAsia="仿宋" w:cs="Times New Roman"/>
          <w:b/>
        </w:rPr>
      </w:pPr>
    </w:p>
    <w:p>
      <w:pPr>
        <w:jc w:val="center"/>
        <w:rPr>
          <w:rFonts w:ascii="Times New Roman" w:hAnsi="Times New Roman" w:eastAsia="仿宋" w:cs="Times New Roman"/>
          <w:b/>
        </w:rPr>
      </w:pPr>
      <w:bookmarkStart w:id="56" w:name="_Toc27572324"/>
      <w:r>
        <w:rPr>
          <w:rFonts w:ascii="Times New Roman" w:hAnsi="Times New Roman" w:eastAsia="仿宋" w:cs="Times New Roman"/>
          <w:b/>
        </w:rPr>
        <w:t>表4-2-2 长春市德惠市生态环境准入清单</w:t>
      </w:r>
      <w:bookmarkEnd w:id="56"/>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54"/>
        <w:gridCol w:w="2115"/>
        <w:gridCol w:w="1819"/>
        <w:gridCol w:w="1679"/>
        <w:gridCol w:w="9755"/>
        <w:gridCol w:w="38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0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30"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97"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06"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03"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ZH22018310001</w:t>
            </w:r>
          </w:p>
        </w:tc>
        <w:tc>
          <w:tcPr>
            <w:tcW w:w="50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吉林大白水省级湿地自然公园</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2生态保护红线内湿地公园执行《中华人民共和国湿地保护法》《湿地保护管理规定》《吉林省湿地保护条例》《关于特别是作为水禽栖息地的国际重要湿地公约》相关要求。</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ZH22018310002</w:t>
            </w:r>
          </w:p>
        </w:tc>
        <w:tc>
          <w:tcPr>
            <w:tcW w:w="50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德惠市国家级公益林</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2国家级公益林执行执行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ZH22018310003</w:t>
            </w:r>
          </w:p>
        </w:tc>
        <w:tc>
          <w:tcPr>
            <w:tcW w:w="50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德惠市黑土地保护区</w:t>
            </w:r>
          </w:p>
        </w:tc>
        <w:tc>
          <w:tcPr>
            <w:tcW w:w="430"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ZH22018310004</w:t>
            </w:r>
          </w:p>
        </w:tc>
        <w:tc>
          <w:tcPr>
            <w:tcW w:w="50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德惠市水土保持功能重要区</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jc w:val="left"/>
              <w:rPr>
                <w:rFonts w:ascii="Times New Roman" w:hAnsi="Times New Roman" w:eastAsia="仿宋" w:cs="Times New Roman"/>
                <w:b/>
                <w:kern w:val="0"/>
                <w:sz w:val="20"/>
                <w:szCs w:val="20"/>
              </w:rPr>
            </w:pPr>
            <w:r>
              <w:rPr>
                <w:rFonts w:ascii="Times New Roman" w:hAnsi="Times New Roman" w:eastAsia="仿宋" w:cs="Times New Roman"/>
                <w:kern w:val="0"/>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ZH22018320001</w:t>
            </w:r>
          </w:p>
        </w:tc>
        <w:tc>
          <w:tcPr>
            <w:tcW w:w="500"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吉林德惠经济开发区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钢铁、焦化、电解铝、铸造、水泥和平板玻璃等行业新增产能，列入去产能的钢铁企业退出时须一并退出配套的烧结、焦炉、高炉等设备。推进煤炭、矿石、钢材、石油、粮食、建材、焦炭等大宗货物中长途运输“公转铁”。</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3严格控制高耗水、高污染行业发展。</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大气环境高排放重点管控区、水环境工业污染重点管控区、建设用地污染风险重点管控区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高新技术产业、农产品加工、食品加工、综合物流、机械电子产业、新型建材、秸秆综合利用、汽车拆解、废钢加工、环保装备制造、兼容热电联产、餐厨垃圾处理、建筑垃圾处理、工业垃圾处理、废旧轮胎处理、塑料物理处理、废纸加工、装配式建筑制造、汽车零部件及配套制造、配套工序的有钝化工艺的热镀锌、废旧电池综合利用、食品加工及医药等产业。</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ZH22018320002</w:t>
            </w:r>
          </w:p>
        </w:tc>
        <w:tc>
          <w:tcPr>
            <w:tcW w:w="500"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长春北湖科技开发区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含双对氯苯基三氯乙烷、三丁基锡、全氟辛酸及其盐类、全氟辛烷磺酸、红丹等有害物质的涂料；含苯类、苯酚、苯甲醛和二（三）氯甲烷的脱漆剂，立德粉，聚氯乙烯建筑防水接缝材料(焦油型)的化工材料产业。</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4禁止新建高毒、高残留以及对环境影响大的农药原药生产装置产业。</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5禁止造成恶臭污染的橡胶和塑料制品业及重金属污染的铅蓄电池行业。</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积极培养先进装备制造、生物与医药、光电子、新材料新能源、精优食品加工和现代服务业，精心打造战略性新兴产业集聚地，建设成为全省创新驱动现行区和生态绿色示范区。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化学原料和化学制品制造业，医药制造业，新型材料制造业，电子信息产业，电子器件制造，智能消费设备制造，铁路、船舶、航空航天及其他运输设备制造业，食品饮料制造业，农副食品加工业，仓储物流业，农业，基因工程食品开发，环保产业，环境诊断试剂，检验检测，科技创新研发领域等</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3开发区应制定环境风险应急预案，成立应急组织机构，定期开展应急演练，提高区域环境风险防范能力。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Cs/>
                <w:color w:val="FF0000"/>
                <w:kern w:val="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ZH22018320003</w:t>
            </w:r>
          </w:p>
        </w:tc>
        <w:tc>
          <w:tcPr>
            <w:tcW w:w="500" w:type="pct"/>
            <w:vMerge w:val="restar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中韩（长春）国际合作示范区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Cs/>
                <w:kern w:val="0"/>
                <w:sz w:val="20"/>
                <w:szCs w:val="20"/>
              </w:rPr>
              <w:t>2-重点管控</w:t>
            </w: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围绕国家政策优势，积极争取设立和筹备建设中韩（长春）国际合作示范区，建设东北亚区域经济合作的引领区、中韩全方位宽领域合作的先行区、吉林省乃至东北地区振兴发展的新引擎。到2025年，以中韩双边带多边，经济合作交流全面推进，特色产业核心竞争力显著增强，初步建成高质量发展的国际开放合作平台。</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高端装备和智能制造、信息技术、医药、健康食品、特色服务、氢能产业、新能源电池、秸秆产业</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ZH22018320004</w:t>
            </w:r>
          </w:p>
        </w:tc>
        <w:tc>
          <w:tcPr>
            <w:tcW w:w="500"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德惠市城镇开发边界</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b/>
                <w:kern w:val="0"/>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以低碳循环经济为特色的哈长城市群重要节点城市、长春市域次中心城市、全国知名绿色食品加工基地，哈长城市群枢纽型仓储物流集散基地、长春市域装备制造、医药健康、生物质资源利用产业承接基地，农牧业加工业、物流业、航空服务和航空制造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sz w:val="20"/>
                <w:szCs w:val="20"/>
              </w:rPr>
              <w:t>基于“三线”研究成果，结合《中共吉林省委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97"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06"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0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ZH22018320005</w:t>
            </w:r>
          </w:p>
        </w:tc>
        <w:tc>
          <w:tcPr>
            <w:tcW w:w="500" w:type="pct"/>
            <w:vMerge w:val="restar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德惠市大气环境高排放重点管控区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7"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06"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基于“三线一单”研究成果提出，《吉林省生态环境保护“十四五”规划》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0" w:type="pct"/>
            <w:vMerge w:val="continue"/>
            <w:shd w:val="clear" w:color="auto" w:fill="auto"/>
            <w:vAlign w:val="bottom"/>
          </w:tcPr>
          <w:p>
            <w:pPr>
              <w:widowControl/>
              <w:jc w:val="left"/>
              <w:rPr>
                <w:rFonts w:ascii="Times New Roman" w:hAnsi="Times New Roman" w:eastAsia="仿宋" w:cs="Times New Roman"/>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ZH22018320006</w:t>
            </w:r>
          </w:p>
        </w:tc>
        <w:tc>
          <w:tcPr>
            <w:tcW w:w="50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德惠市大气环境弱扩散重点管控区</w:t>
            </w:r>
          </w:p>
        </w:tc>
        <w:tc>
          <w:tcPr>
            <w:tcW w:w="43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0" w:type="pct"/>
            <w:vMerge w:val="continue"/>
            <w:shd w:val="clear" w:color="auto" w:fill="auto"/>
            <w:vAlign w:val="bottom"/>
          </w:tcPr>
          <w:p>
            <w:pPr>
              <w:widowControl/>
              <w:jc w:val="left"/>
              <w:rPr>
                <w:rFonts w:ascii="Times New Roman" w:hAnsi="Times New Roman" w:eastAsia="仿宋" w:cs="Times New Roman"/>
                <w:sz w:val="20"/>
                <w:szCs w:val="20"/>
              </w:rPr>
            </w:pPr>
          </w:p>
        </w:tc>
        <w:tc>
          <w:tcPr>
            <w:tcW w:w="43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2"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ZH22018330001</w:t>
            </w:r>
          </w:p>
        </w:tc>
        <w:tc>
          <w:tcPr>
            <w:tcW w:w="500"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德惠市一般管控区</w:t>
            </w:r>
          </w:p>
        </w:tc>
        <w:tc>
          <w:tcPr>
            <w:tcW w:w="43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397"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06"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0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57" w:name="_Toc10522"/>
      <w:bookmarkStart w:id="58" w:name="_Toc27572337"/>
      <w:r>
        <w:rPr>
          <w:rFonts w:ascii="Times New Roman" w:hAnsi="Times New Roman" w:eastAsia="仿宋" w:cs="Times New Roman"/>
          <w:b/>
          <w:bCs/>
          <w:sz w:val="32"/>
          <w:szCs w:val="32"/>
        </w:rPr>
        <w:t>（十一）长春市公主岭市生态环境准入清单</w:t>
      </w:r>
      <w:bookmarkEnd w:id="57"/>
    </w:p>
    <w:p>
      <w:pPr>
        <w:jc w:val="center"/>
        <w:rPr>
          <w:rFonts w:ascii="Times New Roman" w:hAnsi="Times New Roman" w:eastAsia="仿宋" w:cs="Times New Roman"/>
        </w:rPr>
      </w:pPr>
      <w:r>
        <w:rPr>
          <w:rFonts w:ascii="Times New Roman" w:hAnsi="Times New Roman" w:eastAsia="仿宋" w:cs="Times New Roman"/>
          <w:b/>
          <w:kern w:val="0"/>
          <w:sz w:val="24"/>
          <w:szCs w:val="24"/>
        </w:rPr>
        <w:t>表4-11-1</w:t>
      </w:r>
      <w:r>
        <w:rPr>
          <w:rFonts w:ascii="Times New Roman" w:hAnsi="Times New Roman" w:eastAsia="仿宋" w:cs="Times New Roman"/>
          <w:b/>
          <w:sz w:val="24"/>
          <w:szCs w:val="24"/>
        </w:rPr>
        <w:t xml:space="preserve"> 公主岭市区域特征研判</w:t>
      </w:r>
    </w:p>
    <w:tbl>
      <w:tblPr>
        <w:tblStyle w:val="2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6842"/>
        <w:gridCol w:w="3909"/>
        <w:gridCol w:w="5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9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33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1.《吉林省主体功能区规划》中的农产品主产区。</w:t>
            </w:r>
          </w:p>
          <w:p>
            <w:pPr>
              <w:rPr>
                <w:rFonts w:ascii="Times New Roman" w:hAnsi="Times New Roman" w:eastAsia="仿宋" w:cs="Times New Roman"/>
                <w:kern w:val="0"/>
              </w:rPr>
            </w:pPr>
            <w:r>
              <w:rPr>
                <w:rFonts w:ascii="Times New Roman" w:hAnsi="Times New Roman" w:eastAsia="仿宋" w:cs="Times New Roman"/>
                <w:kern w:val="0"/>
              </w:rPr>
              <w:t>2</w:t>
            </w:r>
            <w:r>
              <w:rPr>
                <w:rFonts w:hint="eastAsia" w:ascii="Times New Roman" w:hAnsi="Times New Roman" w:eastAsia="仿宋" w:cs="Times New Roman"/>
                <w:kern w:val="0"/>
              </w:rPr>
              <w:t>.</w:t>
            </w:r>
            <w:r>
              <w:rPr>
                <w:rFonts w:ascii="Times New Roman" w:hAnsi="Times New Roman" w:eastAsia="仿宋" w:cs="Times New Roman"/>
                <w:kern w:val="0"/>
              </w:rPr>
              <w:t>长春市代管县级市，位于吉林省中西部，东辽河中游右岸，幅员4140平方公里，辖20个乡镇、10个街道。</w:t>
            </w:r>
          </w:p>
          <w:p>
            <w:pPr>
              <w:rPr>
                <w:rFonts w:ascii="Times New Roman" w:hAnsi="Times New Roman" w:eastAsia="仿宋" w:cs="Times New Roman"/>
                <w:kern w:val="0"/>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加快汽车配件加工业和农产品食品加工业两大支柱产业的结构优化和规模扩张。</w:t>
            </w:r>
          </w:p>
          <w:p>
            <w:pPr>
              <w:rPr>
                <w:rFonts w:ascii="Times New Roman" w:hAnsi="Times New Roman" w:eastAsia="仿宋" w:cs="Times New Roman"/>
                <w:kern w:val="0"/>
              </w:rPr>
            </w:pPr>
            <w:r>
              <w:rPr>
                <w:rFonts w:ascii="Times New Roman" w:hAnsi="Times New Roman" w:eastAsia="仿宋" w:cs="Times New Roman"/>
                <w:kern w:val="0"/>
              </w:rPr>
              <w:t>壮大装备制造业、能源与新能源产业、建材及新型建材产业、医药化工产业、膨润土产业五大特色产业。</w:t>
            </w:r>
          </w:p>
          <w:p>
            <w:pPr>
              <w:rPr>
                <w:rFonts w:ascii="Times New Roman" w:hAnsi="Times New Roman" w:eastAsia="仿宋" w:cs="Times New Roman"/>
                <w:kern w:val="0"/>
              </w:rPr>
            </w:pPr>
            <w:r>
              <w:rPr>
                <w:rFonts w:ascii="Times New Roman" w:hAnsi="Times New Roman" w:eastAsia="仿宋" w:cs="Times New Roman"/>
                <w:kern w:val="0"/>
              </w:rPr>
              <w:t>积极发展生物医药、生物制造、电子信息、新能源汽车、节能环保材料等战略性新兴产业。</w:t>
            </w:r>
          </w:p>
        </w:tc>
        <w:tc>
          <w:tcPr>
            <w:tcW w:w="9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水环境质量需要持续改善</w:t>
            </w:r>
            <w:r>
              <w:rPr>
                <w:rFonts w:hint="eastAsia" w:ascii="Times New Roman" w:hAnsi="Times New Roman" w:eastAsia="仿宋" w:cs="Times New Roman"/>
                <w:kern w:val="0"/>
              </w:rPr>
              <w:t>。</w:t>
            </w:r>
          </w:p>
          <w:p>
            <w:pPr>
              <w:rPr>
                <w:rFonts w:ascii="Times New Roman" w:hAnsi="Times New Roman" w:eastAsia="仿宋" w:cs="Times New Roman"/>
                <w:kern w:val="0"/>
              </w:rPr>
            </w:pPr>
          </w:p>
        </w:tc>
        <w:tc>
          <w:tcPr>
            <w:tcW w:w="133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1.重点保护</w:t>
            </w:r>
          </w:p>
          <w:p>
            <w:pPr>
              <w:rPr>
                <w:rFonts w:ascii="Times New Roman" w:hAnsi="Times New Roman" w:eastAsia="仿宋" w:cs="Times New Roman"/>
                <w:kern w:val="0"/>
              </w:rPr>
            </w:pPr>
            <w:r>
              <w:rPr>
                <w:rFonts w:ascii="Times New Roman" w:hAnsi="Times New Roman" w:eastAsia="仿宋" w:cs="Times New Roman"/>
                <w:kern w:val="0"/>
              </w:rPr>
              <w:t>人居安全；黑土地资源；吉林四平二龙湖省级森林公园、吉林农安太平池国家湿地自然公园、卡伦湖生活饮用水水源保护区、二龙山水库生活饮用水水源保护区等。</w:t>
            </w:r>
          </w:p>
          <w:p>
            <w:pPr>
              <w:rPr>
                <w:rFonts w:ascii="Times New Roman" w:hAnsi="Times New Roman" w:eastAsia="仿宋" w:cs="Times New Roman"/>
                <w:kern w:val="0"/>
              </w:rPr>
            </w:pPr>
            <w:r>
              <w:rPr>
                <w:rFonts w:ascii="Times New Roman" w:hAnsi="Times New Roman" w:eastAsia="仿宋" w:cs="Times New Roman"/>
                <w:kern w:val="0"/>
              </w:rPr>
              <w:t>2.重点解决问题</w:t>
            </w:r>
          </w:p>
          <w:p>
            <w:pPr>
              <w:rPr>
                <w:rFonts w:ascii="Times New Roman" w:hAnsi="Times New Roman" w:eastAsia="仿宋" w:cs="Times New Roman"/>
                <w:kern w:val="0"/>
              </w:rPr>
            </w:pPr>
            <w:r>
              <w:rPr>
                <w:rFonts w:ascii="Times New Roman" w:hAnsi="Times New Roman" w:eastAsia="仿宋" w:cs="Times New Roman"/>
                <w:kern w:val="0"/>
              </w:rPr>
              <w:t>（1）改善区域水环境。</w:t>
            </w:r>
          </w:p>
          <w:p>
            <w:pPr>
              <w:rPr>
                <w:rFonts w:ascii="Times New Roman" w:hAnsi="Times New Roman" w:eastAsia="仿宋" w:cs="Times New Roman"/>
                <w:kern w:val="0"/>
              </w:rPr>
            </w:pPr>
            <w:r>
              <w:rPr>
                <w:rFonts w:ascii="Times New Roman" w:hAnsi="Times New Roman" w:eastAsia="仿宋" w:cs="Times New Roman"/>
                <w:kern w:val="0"/>
              </w:rPr>
              <w:t>（2）确保人类开发活动不挤占耕地。</w:t>
            </w:r>
          </w:p>
          <w:p>
            <w:pPr>
              <w:rPr>
                <w:rFonts w:ascii="Times New Roman" w:hAnsi="Times New Roman" w:eastAsia="仿宋" w:cs="Times New Roman"/>
                <w:kern w:val="0"/>
              </w:rPr>
            </w:pPr>
            <w:r>
              <w:rPr>
                <w:rFonts w:ascii="Times New Roman" w:hAnsi="Times New Roman" w:eastAsia="仿宋" w:cs="Times New Roman"/>
                <w:kern w:val="0"/>
              </w:rPr>
              <w:t>（3）控制工业耗水量。</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sz w:val="24"/>
          <w:szCs w:val="24"/>
        </w:rPr>
      </w:pPr>
      <w:r>
        <w:rPr>
          <w:rFonts w:ascii="Times New Roman" w:hAnsi="Times New Roman" w:eastAsia="仿宋" w:cs="Times New Roman"/>
          <w:b/>
          <w:kern w:val="0"/>
          <w:sz w:val="24"/>
          <w:szCs w:val="24"/>
        </w:rPr>
        <w:t xml:space="preserve">表4-11-2 </w:t>
      </w:r>
      <w:r>
        <w:rPr>
          <w:rFonts w:ascii="Times New Roman" w:hAnsi="Times New Roman" w:eastAsia="仿宋" w:cs="Times New Roman"/>
          <w:b/>
          <w:szCs w:val="21"/>
        </w:rPr>
        <w:t xml:space="preserve"> </w:t>
      </w:r>
      <w:r>
        <w:rPr>
          <w:rFonts w:ascii="Times New Roman" w:hAnsi="Times New Roman" w:eastAsia="仿宋" w:cs="Times New Roman"/>
          <w:b/>
          <w:sz w:val="24"/>
          <w:szCs w:val="24"/>
        </w:rPr>
        <w:t>公主岭市生态环境准入清单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82"/>
        <w:gridCol w:w="2242"/>
        <w:gridCol w:w="1709"/>
        <w:gridCol w:w="1823"/>
        <w:gridCol w:w="9569"/>
        <w:gridCol w:w="39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trPr>
        <w:tc>
          <w:tcPr>
            <w:tcW w:w="445"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3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04"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3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6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26"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ZH22018410001</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吉林伊通火山群国家级自然保护区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ZH22018410002</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吉林四平二龙湖省级森林公园</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3</w:t>
            </w:r>
            <w:r>
              <w:rPr>
                <w:rFonts w:ascii="Times New Roman" w:hAnsi="Times New Roman" w:eastAsia="仿宋" w:cs="Times New Roman"/>
                <w:sz w:val="20"/>
                <w:szCs w:val="20"/>
              </w:rPr>
              <w:t>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ZH22018410003</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吉林农安太平池国家湿地公园</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hint="eastAsia" w:ascii="Times New Roman" w:hAnsi="Times New Roman" w:eastAsia="仿宋" w:cs="Times New Roman"/>
                <w:sz w:val="20"/>
                <w:szCs w:val="20"/>
              </w:rPr>
              <w:t>湿地公园</w:t>
            </w:r>
            <w:r>
              <w:rPr>
                <w:rFonts w:ascii="Times New Roman" w:hAnsi="Times New Roman" w:eastAsia="仿宋" w:cs="Times New Roman"/>
                <w:sz w:val="20"/>
                <w:szCs w:val="20"/>
              </w:rPr>
              <w:t>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ZH22018410004</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公主岭市卡伦水库生活饮用水源保护区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ZH22018410005</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二龙山水库生活饮用水水源保护区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3水产种质资源保护区执行《水产种质资源保护区管理办法》相关要求。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ZH22018410006</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公主岭市卡伦水库生活饮用水源保护区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ZH22018410007</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二龙湖国家级水产种质资源保护区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ZH22018410008</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二龙湖国家级水产种质资源保护区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ZH22018410009</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公主岭市黑土地保护区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ZH22018410010</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公主岭市水土保持功能生态保护红线</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3生态保护红线内水产种质资源保护区执行《水产种质资源保护区管理办法》相关要求。</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ZH22018410011</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公主岭市水土保持功能重要区</w:t>
            </w:r>
          </w:p>
        </w:tc>
        <w:tc>
          <w:tcPr>
            <w:tcW w:w="404"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ZH22018410012</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公主岭市防风固沙功能重要区</w:t>
            </w:r>
          </w:p>
        </w:tc>
        <w:tc>
          <w:tcPr>
            <w:tcW w:w="404"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2禁止发展高耗水工业。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7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防风固沙、水土流失、盐渍化、土地沙化、黑土地保护区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ZH22018410013</w:t>
            </w:r>
          </w:p>
        </w:tc>
        <w:tc>
          <w:tcPr>
            <w:tcW w:w="53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公主岭市水土流失敏感区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ZH22018420001</w:t>
            </w:r>
          </w:p>
        </w:tc>
        <w:tc>
          <w:tcPr>
            <w:tcW w:w="53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长春大岭经济开发区</w:t>
            </w:r>
          </w:p>
        </w:tc>
        <w:tc>
          <w:tcPr>
            <w:tcW w:w="40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1严格限制排放重金属污染物的项目入区。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2严格限制排放大气污染物较多及大气污染污染较重的工业企业项目入驻石油化工园区以及物流园区。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3严格禁止耗水量大的化工项目入区。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4禁止不符合开发区总体规划或产业规划项目入区。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5严格限制排放重金属污染物的项目入区。</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汽车物流、改装车生产、综合服务业、绿色食品加工、汽车零部件加工为主的机械制造、电子信息产业、农畜产品加工、新型建材加工等</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3一体推进重点行业大气污染深度治理与节能降碳，探索开展大气污染物与温室气体排放协同控制改造提升工程试点。</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3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3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ZH22018420002</w:t>
            </w:r>
          </w:p>
        </w:tc>
        <w:tc>
          <w:tcPr>
            <w:tcW w:w="53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吉林长春国家农业高新技术产业示范区</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打造东北黑土地可持续发展典范区、全国玉米全产业链发展集聚区、东北特色乡村振兴样板区。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农业博览、高新科技创新、智能农机装备智造、玉米精深加工、现代物流仓储、医药制造等</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《企业事业单位突发环境事件应急预案备案管理办法（试行）》《吉林省“十四五”节能减排综合实施方案》《污染地块土壤环境管理办法（试行）》《工矿用地土壤环境管理办法（试行）》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1重点行业污染治理升级改造，推进各类园区循环化改造。</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2一体推进重点行业大气污染深度治理与节能降碳，探索开展大气污染物与温室气体排放协同控制改造提升工程试点。</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3执行《吉林省新污染物治理实施方案》相关要求，加强新污染物多环境介质协同治理，全面强化清洁生产和绿色制造。</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3完成吉林省下达的产能置换要求。各产业执行对应的清洁生产标准。</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45"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ZH22038120003</w:t>
            </w:r>
          </w:p>
        </w:tc>
        <w:tc>
          <w:tcPr>
            <w:tcW w:w="53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吉林公主岭经济开发区</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1严格限制排放重金属污染物的项目入区。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2严格限制排放大气污染物较多及大气污染污染较重的工业企业项目入区。</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3严格控制高耗水、高污染行业发展。</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将公主岭经济开发区通过产业集聚与结构升级，使开发区成为公主岭市新经济增长的重点区域，公主岭产业结构升级的助推器、推动公主岭市经济增长的核心引擎；加快推进四平市与长春市的对接进程。</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汽车、轨道客车及零部件等相关现代制造业、现代物流业、综合服务业等相关产业（其中现代物流业、综合服务业主要围绕汽车及零部件生产相关行业）。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基于“三线”研究成果，结合《污染地块土壤环境管理办法（试行）》《土壤污染防治行动计划》《工矿用地土壤环境管理办法（试行）》《企业事业单位突发环境事件应急预案备案管理办法（试行）》《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45" w:type="pct"/>
            <w:vMerge w:val="continue"/>
            <w:shd w:val="clear" w:color="auto" w:fill="auto"/>
            <w:vAlign w:val="center"/>
          </w:tcPr>
          <w:p>
            <w:pPr>
              <w:rPr>
                <w:rFonts w:ascii="Times New Roman" w:hAnsi="Times New Roman" w:eastAsia="仿宋" w:cs="Times New Roman"/>
                <w:color w:val="FF0000"/>
                <w:sz w:val="20"/>
                <w:szCs w:val="20"/>
              </w:rPr>
            </w:pPr>
          </w:p>
        </w:tc>
        <w:tc>
          <w:tcPr>
            <w:tcW w:w="530" w:type="pct"/>
            <w:vMerge w:val="continue"/>
            <w:shd w:val="clear" w:color="auto" w:fill="auto"/>
            <w:vAlign w:val="center"/>
          </w:tcPr>
          <w:p>
            <w:pPr>
              <w:rPr>
                <w:rFonts w:ascii="Times New Roman" w:hAnsi="Times New Roman" w:eastAsia="仿宋" w:cs="Times New Roman"/>
                <w:color w:val="FF0000"/>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45" w:type="pct"/>
            <w:vMerge w:val="continue"/>
            <w:shd w:val="clear" w:color="auto" w:fill="auto"/>
            <w:vAlign w:val="center"/>
          </w:tcPr>
          <w:p>
            <w:pPr>
              <w:rPr>
                <w:rFonts w:ascii="Times New Roman" w:hAnsi="Times New Roman" w:eastAsia="仿宋" w:cs="Times New Roman"/>
                <w:color w:val="FF0000"/>
                <w:sz w:val="20"/>
                <w:szCs w:val="20"/>
              </w:rPr>
            </w:pPr>
          </w:p>
        </w:tc>
        <w:tc>
          <w:tcPr>
            <w:tcW w:w="530" w:type="pct"/>
            <w:vMerge w:val="continue"/>
            <w:shd w:val="clear" w:color="auto" w:fill="auto"/>
            <w:vAlign w:val="center"/>
          </w:tcPr>
          <w:p>
            <w:pPr>
              <w:rPr>
                <w:rFonts w:ascii="Times New Roman" w:hAnsi="Times New Roman" w:eastAsia="仿宋" w:cs="Times New Roman"/>
                <w:color w:val="FF0000"/>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45" w:type="pct"/>
            <w:vMerge w:val="continue"/>
            <w:shd w:val="clear" w:color="auto" w:fill="auto"/>
            <w:vAlign w:val="center"/>
          </w:tcPr>
          <w:p>
            <w:pPr>
              <w:rPr>
                <w:rFonts w:ascii="Times New Roman" w:hAnsi="Times New Roman" w:eastAsia="仿宋" w:cs="Times New Roman"/>
                <w:color w:val="FF0000"/>
                <w:sz w:val="20"/>
                <w:szCs w:val="20"/>
              </w:rPr>
            </w:pPr>
          </w:p>
        </w:tc>
        <w:tc>
          <w:tcPr>
            <w:tcW w:w="530" w:type="pct"/>
            <w:vMerge w:val="continue"/>
            <w:shd w:val="clear" w:color="auto" w:fill="auto"/>
            <w:vAlign w:val="center"/>
          </w:tcPr>
          <w:p>
            <w:pPr>
              <w:rPr>
                <w:rFonts w:ascii="Times New Roman" w:hAnsi="Times New Roman" w:eastAsia="仿宋" w:cs="Times New Roman"/>
                <w:color w:val="FF0000"/>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3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ZH22038120004</w:t>
            </w:r>
          </w:p>
        </w:tc>
        <w:tc>
          <w:tcPr>
            <w:tcW w:w="53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公主岭市城镇开发边界</w:t>
            </w:r>
          </w:p>
        </w:tc>
        <w:tc>
          <w:tcPr>
            <w:tcW w:w="404"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26"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发展定位：</w:t>
            </w:r>
            <w:r>
              <w:rPr>
                <w:rFonts w:ascii="Times New Roman" w:hAnsi="Times New Roman" w:eastAsia="仿宋" w:cs="Times New Roman"/>
                <w:bCs/>
                <w:kern w:val="0"/>
                <w:sz w:val="20"/>
                <w:szCs w:val="20"/>
              </w:rPr>
              <w:t>以农畜产品生产加工、农业科技研发利用、汽车工业配套为主导产业的生态经济城市</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 xml:space="preserve"> 《关于开展畜禽养殖禁养区划定工作的通知》《畜禽规模养殖污染防治条例》《中共吉林省委 吉林省人民政府关于深入打好污染防治攻坚战的实施意见》《公主岭市人民政府关于划定高污染燃料禁燃区的通告》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rPr>
                <w:rFonts w:ascii="Times New Roman" w:hAnsi="Times New Roman" w:eastAsia="仿宋" w:cs="Times New Roman"/>
                <w:sz w:val="20"/>
                <w:szCs w:val="20"/>
              </w:rPr>
            </w:pPr>
          </w:p>
        </w:tc>
        <w:tc>
          <w:tcPr>
            <w:tcW w:w="530" w:type="pct"/>
            <w:vMerge w:val="continue"/>
            <w:shd w:val="clear" w:color="auto" w:fill="auto"/>
            <w:vAlign w:val="center"/>
          </w:tcPr>
          <w:p>
            <w:pP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center"/>
              <w:rPr>
                <w:rFonts w:ascii="Times New Roman" w:hAnsi="Times New Roman" w:eastAsia="仿宋" w:cs="Times New Roman"/>
                <w:sz w:val="20"/>
                <w:szCs w:val="20"/>
              </w:rPr>
            </w:pPr>
          </w:p>
        </w:tc>
        <w:tc>
          <w:tcPr>
            <w:tcW w:w="530" w:type="pct"/>
            <w:vMerge w:val="continue"/>
            <w:shd w:val="clear" w:color="auto" w:fill="auto"/>
            <w:vAlign w:val="center"/>
          </w:tcPr>
          <w:p>
            <w:pPr>
              <w:jc w:val="center"/>
              <w:rPr>
                <w:rFonts w:ascii="Times New Roman" w:hAnsi="Times New Roman" w:eastAsia="仿宋" w:cs="Times New Roman"/>
                <w:sz w:val="20"/>
                <w:szCs w:val="20"/>
              </w:rPr>
            </w:pPr>
          </w:p>
        </w:tc>
        <w:tc>
          <w:tcPr>
            <w:tcW w:w="404" w:type="pct"/>
            <w:vMerge w:val="continue"/>
            <w:tcBorders>
              <w:right w:val="single" w:color="auto" w:sz="4" w:space="0"/>
            </w:tcBorders>
            <w:shd w:val="clear" w:color="auto" w:fill="auto"/>
            <w:vAlign w:val="center"/>
          </w:tcPr>
          <w:p>
            <w:pPr>
              <w:jc w:val="center"/>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center"/>
              <w:rPr>
                <w:rFonts w:ascii="Times New Roman" w:hAnsi="Times New Roman" w:eastAsia="仿宋" w:cs="Times New Roman"/>
                <w:kern w:val="0"/>
                <w:sz w:val="20"/>
                <w:szCs w:val="20"/>
              </w:rPr>
            </w:pPr>
          </w:p>
        </w:tc>
        <w:tc>
          <w:tcPr>
            <w:tcW w:w="530" w:type="pct"/>
            <w:vMerge w:val="continue"/>
            <w:shd w:val="clear" w:color="auto" w:fill="auto"/>
            <w:vAlign w:val="center"/>
          </w:tcPr>
          <w:p>
            <w:pPr>
              <w:jc w:val="center"/>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center"/>
              <w:rPr>
                <w:rFonts w:ascii="Times New Roman" w:hAnsi="Times New Roman" w:eastAsia="仿宋" w:cs="Times New Roman"/>
                <w:kern w:val="0"/>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ZH22018420005</w:t>
            </w:r>
          </w:p>
        </w:tc>
        <w:tc>
          <w:tcPr>
            <w:tcW w:w="53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公主岭市大气环境高排放重点管控区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大气环境高排放重点管控区、水环境农业污染重点管控区、高污染燃料禁燃区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基于“三线”研究成果提出，《中共吉林省委 吉林省人民政府关于深入打好污染防治攻坚战的实施意见》《吉林省减污降碳协同增效实施方案》《吉林省 “十四五”节能减排综合实施方案》《公主岭市人民政府关于划定高污染燃料禁燃区的通告》《吉林省生态环境保护“十四五”规划》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ZH22018420006</w:t>
            </w:r>
          </w:p>
        </w:tc>
        <w:tc>
          <w:tcPr>
            <w:tcW w:w="53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公主岭市大气环境布局敏感重点管控区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大气环境布局敏感重点管控区、水环境农业污染重点管控区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1推进分散的工业锅炉达标改造，提升脱硫效率。</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2规模化畜禽养殖场（小区）应当保证畜禽粪污无害化处理和资源化利用设施的正常运转。散养密集区要实行畜禽粪便污水分户收集、集中处理利用。</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ZH22018420007</w:t>
            </w:r>
          </w:p>
        </w:tc>
        <w:tc>
          <w:tcPr>
            <w:tcW w:w="53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公主岭市水环境农业污染重点管控区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ZH22018420008</w:t>
            </w:r>
          </w:p>
        </w:tc>
        <w:tc>
          <w:tcPr>
            <w:tcW w:w="53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公主岭市建设用地污染风险重点管控区</w:t>
            </w:r>
          </w:p>
        </w:tc>
        <w:tc>
          <w:tcPr>
            <w:tcW w:w="40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26"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《污染地块土壤环境管理办法（试行）》《工矿用地土壤环境管理办法（试行）》《吉林省生态环境保护“十四五”规划》《吉林省“十四五” 土壤、地下水和农村生态环境保护规划》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vMerge w:val="continue"/>
            <w:shd w:val="clear" w:color="auto" w:fill="auto"/>
            <w:vAlign w:val="center"/>
          </w:tcPr>
          <w:p>
            <w:pPr>
              <w:jc w:val="left"/>
              <w:rPr>
                <w:rFonts w:ascii="Times New Roman" w:hAnsi="Times New Roman" w:eastAsia="仿宋" w:cs="Times New Roman"/>
                <w:kern w:val="0"/>
                <w:sz w:val="20"/>
                <w:szCs w:val="20"/>
              </w:rPr>
            </w:pPr>
          </w:p>
        </w:tc>
        <w:tc>
          <w:tcPr>
            <w:tcW w:w="530" w:type="pct"/>
            <w:vMerge w:val="continue"/>
            <w:shd w:val="clear" w:color="auto" w:fill="auto"/>
            <w:vAlign w:val="center"/>
          </w:tcPr>
          <w:p>
            <w:pPr>
              <w:jc w:val="left"/>
              <w:rPr>
                <w:rFonts w:ascii="Times New Roman" w:hAnsi="Times New Roman" w:eastAsia="仿宋" w:cs="Times New Roman"/>
                <w:kern w:val="0"/>
                <w:sz w:val="20"/>
                <w:szCs w:val="20"/>
              </w:rPr>
            </w:pPr>
          </w:p>
        </w:tc>
        <w:tc>
          <w:tcPr>
            <w:tcW w:w="40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6"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445" w:type="pc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ZH22018420009</w:t>
            </w:r>
          </w:p>
        </w:tc>
        <w:tc>
          <w:tcPr>
            <w:tcW w:w="530" w:type="pc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公主岭市高污染燃料禁燃区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禁燃区内禁止燃用的高污染燃料按照《公主岭市人民政府关于划定高污染燃料禁燃区的通告》执行；禁燃区内禁止新建、扩建燃用高污染燃料的锅炉、炉窑、炉灶等燃烧设施（集中供热、电厂锅炉除外）；禁燃区内禁止销售高污染燃料；禁燃区内使用高污染燃料的锅炉、炉窑、炉灶等燃烧设施（集中供热、电厂锅炉除外）应当在规定期限内改用天然气、液化石油气、电或者其他清洁能源；逾期未改用的，不得继续使用。</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高污染燃料禁燃区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《公主岭市人民政府关于划定高污染燃料禁燃区的通告》。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45"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ZH22018430001</w:t>
            </w:r>
          </w:p>
        </w:tc>
        <w:tc>
          <w:tcPr>
            <w:tcW w:w="53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公主岭市一般管控区</w:t>
            </w:r>
          </w:p>
        </w:tc>
        <w:tc>
          <w:tcPr>
            <w:tcW w:w="404"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6"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bookmarkEnd w:id="58"/>
    </w:tbl>
    <w:p>
      <w:pPr>
        <w:keepNext/>
        <w:keepLines/>
        <w:spacing w:before="260" w:after="260"/>
        <w:outlineLvl w:val="1"/>
        <w:rPr>
          <w:rFonts w:ascii="Times New Roman" w:hAnsi="Times New Roman" w:eastAsia="仿宋" w:cs="Times New Roman"/>
          <w:b/>
          <w:bCs/>
          <w:sz w:val="32"/>
          <w:szCs w:val="32"/>
        </w:rPr>
      </w:pPr>
      <w:bookmarkStart w:id="59" w:name="_Toc27573197"/>
      <w:bookmarkStart w:id="60" w:name="_Toc3658"/>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二</w:t>
      </w:r>
      <w:r>
        <w:rPr>
          <w:rFonts w:ascii="Times New Roman" w:hAnsi="Times New Roman" w:eastAsia="仿宋" w:cs="Times New Roman"/>
          <w:b/>
          <w:bCs/>
          <w:sz w:val="32"/>
          <w:szCs w:val="32"/>
        </w:rPr>
        <w:t>）吉林市昌邑区</w:t>
      </w:r>
      <w:bookmarkEnd w:id="59"/>
      <w:r>
        <w:rPr>
          <w:rFonts w:ascii="Times New Roman" w:hAnsi="Times New Roman" w:eastAsia="仿宋" w:cs="Times New Roman"/>
          <w:b/>
          <w:bCs/>
          <w:sz w:val="32"/>
          <w:szCs w:val="32"/>
        </w:rPr>
        <w:t>生态环境准入清单</w:t>
      </w:r>
      <w:bookmarkEnd w:id="60"/>
    </w:p>
    <w:p>
      <w:pPr>
        <w:jc w:val="center"/>
        <w:rPr>
          <w:rFonts w:ascii="Times New Roman" w:hAnsi="Times New Roman" w:eastAsia="仿宋" w:cs="Times New Roman"/>
          <w:b/>
        </w:rPr>
      </w:pPr>
      <w:bookmarkStart w:id="61" w:name="_Toc27573198"/>
      <w:r>
        <w:rPr>
          <w:rFonts w:ascii="Times New Roman" w:hAnsi="Times New Roman" w:eastAsia="仿宋" w:cs="Times New Roman"/>
          <w:b/>
        </w:rPr>
        <w:t>表4-13-1吉林市昌邑区区域特征研判</w:t>
      </w:r>
      <w:bookmarkEnd w:id="61"/>
    </w:p>
    <w:tbl>
      <w:tblPr>
        <w:tblStyle w:val="2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7015"/>
        <w:gridCol w:w="4984"/>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rPr>
            </w:pPr>
            <w:r>
              <w:rPr>
                <w:rFonts w:ascii="Times New Roman" w:hAnsi="Times New Roman" w:eastAsia="仿宋" w:cs="Times New Roman"/>
                <w:b/>
                <w:bCs/>
              </w:rPr>
              <w:t>区位特点</w:t>
            </w:r>
          </w:p>
        </w:tc>
        <w:tc>
          <w:tcPr>
            <w:tcW w:w="165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rPr>
            </w:pPr>
            <w:r>
              <w:rPr>
                <w:rFonts w:ascii="Times New Roman" w:hAnsi="Times New Roman" w:eastAsia="仿宋" w:cs="Times New Roman"/>
                <w:b/>
                <w:bCs/>
              </w:rPr>
              <w:t>发展定位与目标</w:t>
            </w:r>
          </w:p>
        </w:tc>
        <w:tc>
          <w:tcPr>
            <w:tcW w:w="117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rPr>
            </w:pPr>
            <w:r>
              <w:rPr>
                <w:rFonts w:ascii="Times New Roman" w:hAnsi="Times New Roman" w:eastAsia="仿宋" w:cs="Times New Roman"/>
                <w:b/>
                <w:bCs/>
              </w:rPr>
              <w:t>区域突出的生态环境问题</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rPr>
            </w:pPr>
            <w:r>
              <w:rPr>
                <w:rFonts w:ascii="Times New Roman" w:hAnsi="Times New Roman" w:eastAsia="仿宋" w:cs="Times New Roman"/>
                <w:b/>
                <w:bCs/>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0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rPr>
            </w:pPr>
            <w:r>
              <w:rPr>
                <w:rFonts w:ascii="Times New Roman" w:hAnsi="Times New Roman" w:eastAsia="仿宋" w:cs="Times New Roman"/>
              </w:rPr>
              <w:t>1.《吉林省主体功能区规划》中的国家级重点开发区域。</w:t>
            </w:r>
          </w:p>
          <w:p>
            <w:pPr>
              <w:rPr>
                <w:rFonts w:ascii="Times New Roman" w:hAnsi="Times New Roman" w:eastAsia="仿宋" w:cs="Times New Roman"/>
              </w:rPr>
            </w:pPr>
            <w:r>
              <w:rPr>
                <w:rFonts w:ascii="Times New Roman" w:hAnsi="Times New Roman" w:eastAsia="仿宋" w:cs="Times New Roman"/>
              </w:rPr>
              <w:t>2.吉林市辖区，位于吉林省吉林市城市西北部，总面积769.92平方千米。辖12个街道、3个镇、2个乡、1个省级开发区。</w:t>
            </w:r>
          </w:p>
          <w:p>
            <w:pPr>
              <w:rPr>
                <w:rFonts w:ascii="Times New Roman" w:hAnsi="Times New Roman" w:eastAsia="仿宋" w:cs="Times New Roman"/>
              </w:rPr>
            </w:pPr>
          </w:p>
        </w:tc>
        <w:tc>
          <w:tcPr>
            <w:tcW w:w="165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rPr>
            </w:pPr>
            <w:r>
              <w:rPr>
                <w:rFonts w:ascii="Times New Roman" w:hAnsi="Times New Roman" w:eastAsia="仿宋" w:cs="Times New Roman"/>
              </w:rPr>
              <w:t>在功能定位上，着力构建“一带、一核、六园区”空间布局，即城乡融合发展示范带、现代服务业核心区、商旅融合产业区，老工业基地转型示范区，雾凇温泉旅游度假区，都市工业产业园区，现代农业产业园区，北药健康产业园区。</w:t>
            </w:r>
          </w:p>
          <w:p>
            <w:pPr>
              <w:rPr>
                <w:rFonts w:ascii="Times New Roman" w:hAnsi="Times New Roman" w:eastAsia="仿宋" w:cs="Times New Roman"/>
              </w:rPr>
            </w:pPr>
            <w:r>
              <w:rPr>
                <w:rFonts w:ascii="Times New Roman" w:hAnsi="Times New Roman" w:eastAsia="仿宋" w:cs="Times New Roman"/>
              </w:rPr>
              <w:t>在产业培育上，持续完善产业体系，全力提升现代农业、现代服务业、现代商贸业、文化旅游产业四大主导产业；加快培育发展都市工业、信息产业和大健康产业三个新兴产业。</w:t>
            </w:r>
          </w:p>
        </w:tc>
        <w:tc>
          <w:tcPr>
            <w:tcW w:w="117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rPr>
            </w:pPr>
            <w:r>
              <w:rPr>
                <w:rFonts w:hint="eastAsia" w:ascii="Times New Roman" w:hAnsi="Times New Roman" w:eastAsia="仿宋" w:cs="Times New Roman"/>
              </w:rPr>
              <w:t>/</w:t>
            </w:r>
          </w:p>
        </w:tc>
        <w:tc>
          <w:tcPr>
            <w:tcW w:w="10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rPr>
            </w:pPr>
            <w:r>
              <w:rPr>
                <w:rFonts w:ascii="Times New Roman" w:hAnsi="Times New Roman" w:eastAsia="仿宋" w:cs="Times New Roman"/>
              </w:rPr>
              <w:t>1.重点保护</w:t>
            </w:r>
          </w:p>
          <w:p>
            <w:pPr>
              <w:rPr>
                <w:rFonts w:ascii="Times New Roman" w:hAnsi="Times New Roman" w:eastAsia="仿宋" w:cs="Times New Roman"/>
              </w:rPr>
            </w:pPr>
            <w:r>
              <w:rPr>
                <w:rFonts w:ascii="Times New Roman" w:hAnsi="Times New Roman" w:eastAsia="仿宋" w:cs="Times New Roman"/>
              </w:rPr>
              <w:t>人居安全、吉林左家省级森林公园、松花江吉林段七鳃鳗国家级水产种质资源保护区、黑土地资源。</w:t>
            </w:r>
          </w:p>
          <w:p>
            <w:pPr>
              <w:rPr>
                <w:rFonts w:ascii="Times New Roman" w:hAnsi="Times New Roman" w:eastAsia="仿宋" w:cs="Times New Roman"/>
              </w:rPr>
            </w:pPr>
            <w:r>
              <w:rPr>
                <w:rFonts w:ascii="Times New Roman" w:hAnsi="Times New Roman" w:eastAsia="仿宋" w:cs="Times New Roman"/>
              </w:rPr>
              <w:t>2.重点解决问题</w:t>
            </w:r>
          </w:p>
          <w:p>
            <w:pPr>
              <w:rPr>
                <w:rFonts w:ascii="Times New Roman" w:hAnsi="Times New Roman" w:eastAsia="仿宋" w:cs="Times New Roman"/>
              </w:rPr>
            </w:pPr>
            <w:r>
              <w:rPr>
                <w:rFonts w:ascii="Times New Roman" w:hAnsi="Times New Roman" w:eastAsia="仿宋" w:cs="Times New Roman"/>
              </w:rPr>
              <w:t>（1）改善区域水环境。</w:t>
            </w:r>
          </w:p>
          <w:p>
            <w:pPr>
              <w:rPr>
                <w:rFonts w:ascii="Times New Roman" w:hAnsi="Times New Roman" w:eastAsia="仿宋" w:cs="Times New Roman"/>
              </w:rPr>
            </w:pPr>
            <w:r>
              <w:rPr>
                <w:rFonts w:ascii="Times New Roman" w:hAnsi="Times New Roman" w:eastAsia="仿宋" w:cs="Times New Roman"/>
              </w:rPr>
              <w:t>（2）确保人类开发活动不挤占耕地。</w:t>
            </w:r>
          </w:p>
        </w:tc>
      </w:tr>
    </w:tbl>
    <w:p>
      <w:pPr>
        <w:jc w:val="center"/>
        <w:rPr>
          <w:rFonts w:ascii="Times New Roman" w:hAnsi="Times New Roman" w:eastAsia="仿宋" w:cs="Times New Roman"/>
          <w:b/>
          <w:color w:val="FF0000"/>
        </w:rPr>
      </w:pPr>
      <w:bookmarkStart w:id="62" w:name="_Toc27573199"/>
    </w:p>
    <w:p>
      <w:pPr>
        <w:jc w:val="center"/>
        <w:rPr>
          <w:rFonts w:ascii="Times New Roman" w:hAnsi="Times New Roman" w:eastAsia="仿宋" w:cs="Times New Roman"/>
          <w:b/>
        </w:rPr>
      </w:pPr>
      <w:r>
        <w:rPr>
          <w:rFonts w:ascii="Times New Roman" w:hAnsi="Times New Roman" w:eastAsia="仿宋" w:cs="Times New Roman"/>
          <w:b/>
        </w:rPr>
        <w:t>表4-13-2吉林市昌邑区生态环境准入清单</w:t>
      </w:r>
      <w:bookmarkEnd w:id="62"/>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27"/>
        <w:gridCol w:w="2267"/>
        <w:gridCol w:w="1772"/>
        <w:gridCol w:w="1709"/>
        <w:gridCol w:w="9709"/>
        <w:gridCol w:w="3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36"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9"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9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12"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ZH22020210001</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吉林左家省级森林公园</w:t>
            </w:r>
          </w:p>
        </w:tc>
        <w:tc>
          <w:tcPr>
            <w:tcW w:w="419"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ZH22020210002</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松花江吉林段七鳃鳗国家级水产种质资源保护区</w:t>
            </w:r>
          </w:p>
        </w:tc>
        <w:tc>
          <w:tcPr>
            <w:tcW w:w="419"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1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ZH22020210003</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昌邑区水土流失敏感区</w:t>
            </w:r>
          </w:p>
        </w:tc>
        <w:tc>
          <w:tcPr>
            <w:tcW w:w="419"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2禁止发展高耗水工业。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tc>
        <w:tc>
          <w:tcPr>
            <w:tcW w:w="91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ZH22020220001</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吉林经济技术开发区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3严格控制高耗水、高污染行业发展。</w:t>
            </w:r>
          </w:p>
        </w:tc>
        <w:tc>
          <w:tcPr>
            <w:tcW w:w="912"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大气环境高排放重点管控区、水环境工业污染重点管控区、建设用地污染风险重点管控区、吉林桦皮厂地热重点矿区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吉林国家级碳纤维高新技术产业化基地的核心区域，是东北最具竞争力的精细化工产业集聚区，也是吉林省内少数几个具有承接化工项目资质和能力的区域之一。</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精细化工、生物化工、医药化工、新材料及装备制造</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ZH22020220002</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吉林高新技术产业开发区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12"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大气环境高排放重点管控区、水环境工业污染重点管控区、吉林桦皮厂地热重点矿区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汽车及装备制造产业、新一代信息技术产业、现代服务业、电子及装备制造产业、节能环保与新能源产业、新材料产业、医药大健康、循环经济产业、轻工产业、职业教育产业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3严格落实规划环评及其批复文件制定的环境风险防范措施。</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ZH22020220003</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吉林昌邑经济开发区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12"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极力推进产业集群化、新区现代化、环境生态化和城乡一体化进程，到2025年，着力打造成吉林市现代化工业新核心、东北工业遗产传承和展示的文化基地、现代服务业发展的新载体。</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以通讯、电力电气、新材料、生物科技等为主的先进制造业；以食品加工、轻工纺织、电子信息、人工智能为主的都市工业型制造业；以金融服务、文旅创意、科创研发、健康服务、多式联运等为主的现代服务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p>
            <w:pPr>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ZH22020220004</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昌邑区城镇开发边界</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12"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大气环境受体敏感重点管控区、水环境城镇生活污染重点管控区、建设用地污染风险重点管控区、吉林桦皮厂地热重点矿区、高污染燃料禁燃区</w:t>
            </w:r>
          </w:p>
          <w:p>
            <w:pPr>
              <w:rPr>
                <w:rFonts w:ascii="Times New Roman" w:hAnsi="Times New Roman" w:eastAsia="仿宋" w:cs="Times New Roman"/>
                <w:b/>
                <w:bCs/>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旅游文化名城、新型产业基地、生态宜居城市</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生态环境保护“十四五”规划》，高污染燃料禁燃区管理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ZH22020220005</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昌邑区大气环境高排放重点管控区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12"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大气环境高排放重点管控区、高污染燃料禁燃区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基于“三线”研究成果提出，《吉林省减污降碳协同增效实施方案》《吉林省生态环境保护“十四五”规划》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ZH22020220006</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昌邑区大气环境布局敏感重点管控区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2"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大气环境布局敏感重点管控区、吉林桦皮厂地热重点矿区、高污染燃料禁燃区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ZH22020220007</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昌邑区大气环境弱扩散重点管控区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ZH22020220008</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昌邑区建设用地污染风险重点管控区</w:t>
            </w:r>
          </w:p>
        </w:tc>
        <w:tc>
          <w:tcPr>
            <w:tcW w:w="419"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1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419"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9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ZH22020220009</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吉林桦皮厂地热重点矿区</w:t>
            </w:r>
          </w:p>
        </w:tc>
        <w:tc>
          <w:tcPr>
            <w:tcW w:w="419"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9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ZH22020230001</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昌邑区一般管控区</w:t>
            </w:r>
          </w:p>
        </w:tc>
        <w:tc>
          <w:tcPr>
            <w:tcW w:w="419"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9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2"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szCs w:val="24"/>
        </w:rPr>
      </w:pPr>
    </w:p>
    <w:p>
      <w:pPr>
        <w:keepNext/>
        <w:keepLines/>
        <w:spacing w:before="260" w:after="260"/>
        <w:outlineLvl w:val="1"/>
        <w:rPr>
          <w:rFonts w:ascii="Times New Roman" w:hAnsi="Times New Roman" w:eastAsia="仿宋" w:cs="Times New Roman"/>
          <w:b/>
          <w:bCs/>
          <w:sz w:val="32"/>
          <w:szCs w:val="32"/>
        </w:rPr>
      </w:pPr>
      <w:bookmarkStart w:id="63" w:name="_Toc27573200"/>
      <w:bookmarkStart w:id="64" w:name="_Toc18096"/>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三</w:t>
      </w:r>
      <w:r>
        <w:rPr>
          <w:rFonts w:ascii="Times New Roman" w:hAnsi="Times New Roman" w:eastAsia="仿宋" w:cs="Times New Roman"/>
          <w:b/>
          <w:bCs/>
          <w:sz w:val="32"/>
          <w:szCs w:val="32"/>
        </w:rPr>
        <w:t>）吉林市龙潭区</w:t>
      </w:r>
      <w:bookmarkEnd w:id="63"/>
      <w:r>
        <w:rPr>
          <w:rFonts w:ascii="Times New Roman" w:hAnsi="Times New Roman" w:eastAsia="仿宋" w:cs="Times New Roman"/>
          <w:b/>
          <w:bCs/>
          <w:sz w:val="32"/>
          <w:szCs w:val="32"/>
        </w:rPr>
        <w:t>生态环境准入清单</w:t>
      </w:r>
      <w:bookmarkEnd w:id="64"/>
    </w:p>
    <w:p>
      <w:pPr>
        <w:jc w:val="center"/>
        <w:rPr>
          <w:rFonts w:ascii="Times New Roman" w:hAnsi="Times New Roman" w:eastAsia="仿宋" w:cs="Times New Roman"/>
          <w:b/>
        </w:rPr>
      </w:pPr>
      <w:bookmarkStart w:id="65" w:name="_Toc27573201"/>
      <w:r>
        <w:rPr>
          <w:rFonts w:ascii="Times New Roman" w:hAnsi="Times New Roman" w:eastAsia="仿宋" w:cs="Times New Roman"/>
          <w:b/>
        </w:rPr>
        <w:t>表4-14-1吉林市龙潭区区域特征研判</w:t>
      </w:r>
      <w:bookmarkEnd w:id="65"/>
    </w:p>
    <w:tbl>
      <w:tblPr>
        <w:tblStyle w:val="2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1.《吉林省主体功能区规划》中的国家级重点开发区域。</w:t>
            </w:r>
          </w:p>
          <w:p>
            <w:pPr>
              <w:rPr>
                <w:rFonts w:ascii="Times New Roman" w:hAnsi="Times New Roman" w:eastAsia="仿宋" w:cs="Times New Roman"/>
                <w:kern w:val="0"/>
                <w:szCs w:val="21"/>
              </w:rPr>
            </w:pPr>
            <w:r>
              <w:rPr>
                <w:rFonts w:ascii="Times New Roman" w:hAnsi="Times New Roman" w:eastAsia="仿宋" w:cs="Times New Roman"/>
                <w:kern w:val="0"/>
                <w:szCs w:val="21"/>
              </w:rPr>
              <w:t>2.吉林市辖区，位于吉林省吉林市城市东北部，总面积1208.9平方千米。辖13个街道、5个镇、1个乡、2个省级开发区。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打造“232”产业体系——聚焦基础化工、黑色冶金两大主导产业，进一步提升发展能级；聚焦化工新材料、精细化工、金属深加工三个优势产业，进一步提升发展质量；聚焦新型无机非金属材料、节能环保两类新兴产业，进一步培育产业集群。配套发展物流、研发、信息服务等生产性服务业，创新发展绿色农业和智慧养殖产业，打造吉林市北部增长极。</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人居安全、松花江吉林段七鳃鳗国家级水产种质资源保护区。</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kern w:val="0"/>
                <w:szCs w:val="21"/>
              </w:rPr>
            </w:pPr>
            <w:r>
              <w:rPr>
                <w:rFonts w:ascii="Times New Roman" w:hAnsi="Times New Roman" w:eastAsia="仿宋" w:cs="Times New Roman"/>
                <w:kern w:val="0"/>
                <w:szCs w:val="21"/>
              </w:rPr>
              <w:t>（2）确保人类开发活动不挤占耕地。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66" w:name="_Toc27573202"/>
      <w:r>
        <w:rPr>
          <w:rFonts w:ascii="Times New Roman" w:hAnsi="Times New Roman" w:eastAsia="仿宋" w:cs="Times New Roman"/>
          <w:b/>
        </w:rPr>
        <w:t>表4-14-2吉林市龙潭区生态环境准入清单</w:t>
      </w:r>
      <w:bookmarkEnd w:id="66"/>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5"/>
        <w:gridCol w:w="2386"/>
        <w:gridCol w:w="1607"/>
        <w:gridCol w:w="1747"/>
        <w:gridCol w:w="9560"/>
        <w:gridCol w:w="39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6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0"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6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3"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ZH22020310001</w:t>
            </w:r>
          </w:p>
        </w:tc>
        <w:tc>
          <w:tcPr>
            <w:tcW w:w="5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松花江吉林段七鳃鳗国家级水产种质资源保护区</w:t>
            </w:r>
          </w:p>
        </w:tc>
        <w:tc>
          <w:tcPr>
            <w:tcW w:w="380"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ZH22020310002</w:t>
            </w:r>
          </w:p>
        </w:tc>
        <w:tc>
          <w:tcPr>
            <w:tcW w:w="5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龙潭区水源涵养重要区</w:t>
            </w:r>
          </w:p>
        </w:tc>
        <w:tc>
          <w:tcPr>
            <w:tcW w:w="380"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2禁止发展高耗水工业。</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7原则上不再新建各类产业园区，严禁随意扩大现有产业园区范围。以工业为主的产业园区应加快完成园区的循环化改造，鼓励推进低消耗、可循环、少排放的生态型工业区建设。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8</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水源涵养、防风固沙、生物多样性、水土流失、盐渍化、水土保持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ZH22020310003</w:t>
            </w:r>
          </w:p>
        </w:tc>
        <w:tc>
          <w:tcPr>
            <w:tcW w:w="5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龙潭区水土保持功能生态保护红线</w:t>
            </w:r>
          </w:p>
        </w:tc>
        <w:tc>
          <w:tcPr>
            <w:tcW w:w="380"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ZH22020310004</w:t>
            </w:r>
          </w:p>
        </w:tc>
        <w:tc>
          <w:tcPr>
            <w:tcW w:w="5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龙潭区水土保持重要区</w:t>
            </w:r>
          </w:p>
        </w:tc>
        <w:tc>
          <w:tcPr>
            <w:tcW w:w="380"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3禁止发展高耗水工业。</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水土保持、水土流失、盐渍化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ZH22020310005</w:t>
            </w:r>
          </w:p>
        </w:tc>
        <w:tc>
          <w:tcPr>
            <w:tcW w:w="5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龙潭区水土流失敏感区</w:t>
            </w:r>
          </w:p>
        </w:tc>
        <w:tc>
          <w:tcPr>
            <w:tcW w:w="380"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3禁止发展高耗水工业。</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水土流失、盐渍化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8"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ZH22020320001</w:t>
            </w:r>
          </w:p>
        </w:tc>
        <w:tc>
          <w:tcPr>
            <w:tcW w:w="564"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吉林龙潭经济开发区</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3严格控制高耗水、高污染行业发展。</w:t>
            </w:r>
          </w:p>
        </w:tc>
        <w:tc>
          <w:tcPr>
            <w:tcW w:w="933"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东北区域冶金及化工产业示范区，打造省级开发区“第一方阵”</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冶金、化工、高端装备制造</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3"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7"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ZH22020320002</w:t>
            </w:r>
          </w:p>
        </w:tc>
        <w:tc>
          <w:tcPr>
            <w:tcW w:w="56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吉林化学工业循环经济示范园区</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33"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基础化工、精细化工、化工新材料、生物化工</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基于“三线”研究成果，结合《污染地块土壤环境管理办法（试行）》《工矿用地土壤环境管理办法（试行）》《企业事业单位突发环境事件应急预案备案管理办法（试行）》《中共吉林省委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2土壤环境污染重点监管企业、危化品仓储企业落实《工矿用地土壤环境管理办法（试行）》要求，实施项目环评、设计建设、拆除设施、终止经营全生命周期土壤和地下水污染防治。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sz w:val="20"/>
                <w:szCs w:val="20"/>
              </w:rPr>
            </w:pPr>
            <w:r>
              <w:rPr>
                <w:rFonts w:ascii="Times New Roman" w:hAnsi="Times New Roman" w:eastAsia="仿宋" w:cs="Times New Roman"/>
                <w:sz w:val="20"/>
                <w:szCs w:val="20"/>
              </w:rPr>
              <w:t>3开发区应制定环境风险应急预案，成立应急组织机构，定期开展应急演练，提高区域环境风险防范能力。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p>
            <w:pPr>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ZH22020320003</w:t>
            </w:r>
          </w:p>
        </w:tc>
        <w:tc>
          <w:tcPr>
            <w:tcW w:w="564"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龙潭区城镇开发边界</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33"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发展定位：</w:t>
            </w:r>
            <w:r>
              <w:rPr>
                <w:rFonts w:ascii="Times New Roman" w:hAnsi="Times New Roman" w:eastAsia="仿宋" w:cs="Times New Roman"/>
                <w:bCs/>
                <w:kern w:val="0"/>
                <w:sz w:val="20"/>
                <w:szCs w:val="20"/>
              </w:rPr>
              <w:t>坚持“一核两翼”，即突出发展现代工业，带动现代服务业和现代农业发展。</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基于“三线”研究成果，结合《关于开展畜禽养殖禁养区划定工作的通知》《畜禽规模养殖污染防治条例》《吉林省生态环境保护“十四五”规划》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ZH22020320004</w:t>
            </w:r>
          </w:p>
        </w:tc>
        <w:tc>
          <w:tcPr>
            <w:tcW w:w="56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龙潭区大气环境高排放重点管控区</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3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ZH22020320005</w:t>
            </w:r>
          </w:p>
        </w:tc>
        <w:tc>
          <w:tcPr>
            <w:tcW w:w="56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龙潭区大气环境布局敏感重点管控区</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3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ZH22020320006</w:t>
            </w:r>
          </w:p>
        </w:tc>
        <w:tc>
          <w:tcPr>
            <w:tcW w:w="56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龙潭区大气环境弱扩散重点管控区</w:t>
            </w:r>
          </w:p>
        </w:tc>
        <w:tc>
          <w:tcPr>
            <w:tcW w:w="380"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3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vMerge w:val="continue"/>
            <w:shd w:val="clear" w:color="auto" w:fill="auto"/>
            <w:vAlign w:val="center"/>
          </w:tcPr>
          <w:p>
            <w:pPr>
              <w:widowControl/>
              <w:jc w:val="left"/>
              <w:rPr>
                <w:rFonts w:ascii="Times New Roman" w:hAnsi="Times New Roman" w:eastAsia="仿宋" w:cs="Times New Roman"/>
                <w:sz w:val="20"/>
                <w:szCs w:val="20"/>
              </w:rPr>
            </w:pPr>
          </w:p>
        </w:tc>
        <w:tc>
          <w:tcPr>
            <w:tcW w:w="564" w:type="pct"/>
            <w:vMerge w:val="continue"/>
            <w:shd w:val="clear" w:color="auto" w:fill="auto"/>
            <w:vAlign w:val="center"/>
          </w:tcPr>
          <w:p>
            <w:pPr>
              <w:widowControl/>
              <w:jc w:val="left"/>
              <w:rPr>
                <w:rFonts w:ascii="Times New Roman" w:hAnsi="Times New Roman" w:eastAsia="仿宋" w:cs="Times New Roman"/>
                <w:sz w:val="20"/>
                <w:szCs w:val="20"/>
              </w:rPr>
            </w:pPr>
          </w:p>
        </w:tc>
        <w:tc>
          <w:tcPr>
            <w:tcW w:w="380"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ZH22020330001</w:t>
            </w:r>
          </w:p>
        </w:tc>
        <w:tc>
          <w:tcPr>
            <w:tcW w:w="56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龙潭区一般管控区</w:t>
            </w:r>
          </w:p>
        </w:tc>
        <w:tc>
          <w:tcPr>
            <w:tcW w:w="380"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0"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3"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rPr>
      </w:pPr>
    </w:p>
    <w:p>
      <w:pPr>
        <w:keepNext/>
        <w:keepLines/>
        <w:outlineLvl w:val="1"/>
        <w:rPr>
          <w:rFonts w:ascii="Times New Roman" w:hAnsi="Times New Roman" w:eastAsia="仿宋" w:cs="Times New Roman"/>
          <w:b/>
          <w:bCs/>
          <w:sz w:val="32"/>
          <w:szCs w:val="32"/>
        </w:rPr>
      </w:pPr>
      <w:bookmarkStart w:id="67" w:name="_Toc27573203"/>
      <w:bookmarkStart w:id="68" w:name="_Toc21131"/>
      <w:bookmarkStart w:id="69" w:name="_Toc27573206"/>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四</w:t>
      </w:r>
      <w:r>
        <w:rPr>
          <w:rFonts w:ascii="Times New Roman" w:hAnsi="Times New Roman" w:eastAsia="仿宋" w:cs="Times New Roman"/>
          <w:b/>
          <w:bCs/>
          <w:sz w:val="32"/>
          <w:szCs w:val="32"/>
        </w:rPr>
        <w:t>） 吉林市船营区</w:t>
      </w:r>
      <w:bookmarkEnd w:id="67"/>
      <w:r>
        <w:rPr>
          <w:rFonts w:ascii="Times New Roman" w:hAnsi="Times New Roman" w:eastAsia="仿宋" w:cs="Times New Roman"/>
          <w:b/>
          <w:bCs/>
          <w:sz w:val="32"/>
          <w:szCs w:val="32"/>
        </w:rPr>
        <w:t>生态环境准入清单</w:t>
      </w:r>
      <w:bookmarkEnd w:id="68"/>
    </w:p>
    <w:p>
      <w:pPr>
        <w:jc w:val="center"/>
        <w:rPr>
          <w:rFonts w:ascii="Times New Roman" w:hAnsi="Times New Roman" w:eastAsia="仿宋" w:cs="Times New Roman"/>
          <w:b/>
        </w:rPr>
      </w:pPr>
      <w:bookmarkStart w:id="70" w:name="_Toc27573204"/>
      <w:r>
        <w:rPr>
          <w:rFonts w:ascii="Times New Roman" w:hAnsi="Times New Roman" w:eastAsia="仿宋" w:cs="Times New Roman"/>
          <w:b/>
        </w:rPr>
        <w:t>表4-12-1吉林市船营区区域特征研判</w:t>
      </w:r>
      <w:bookmarkEnd w:id="70"/>
    </w:p>
    <w:tbl>
      <w:tblPr>
        <w:tblStyle w:val="2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1.《吉林省主体功能区规划》中的国家级重点开发区域。</w:t>
            </w:r>
          </w:p>
          <w:p>
            <w:pPr>
              <w:rPr>
                <w:rFonts w:ascii="Times New Roman" w:hAnsi="Times New Roman" w:eastAsia="仿宋" w:cs="Times New Roman"/>
                <w:kern w:val="0"/>
              </w:rPr>
            </w:pPr>
            <w:r>
              <w:rPr>
                <w:rFonts w:ascii="Times New Roman" w:hAnsi="Times New Roman" w:eastAsia="仿宋" w:cs="Times New Roman"/>
                <w:kern w:val="0"/>
              </w:rPr>
              <w:t>2.吉林市辖区，位于吉林省吉林市城市中西部，总面积685.91平方千米。辖11个街道、3个镇、1个乡、1个省级经济开发区。</w:t>
            </w:r>
          </w:p>
          <w:p>
            <w:pPr>
              <w:rPr>
                <w:rFonts w:ascii="Times New Roman" w:hAnsi="Times New Roman" w:eastAsia="仿宋" w:cs="Times New Roman"/>
                <w:kern w:val="0"/>
              </w:rPr>
            </w:pPr>
          </w:p>
          <w:p>
            <w:pPr>
              <w:rPr>
                <w:rFonts w:ascii="Times New Roman" w:hAnsi="Times New Roman" w:eastAsia="仿宋" w:cs="Times New Roman"/>
                <w:kern w:val="0"/>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在产业布局上，着力构建“5331”现代产业发展体系，推动产业向中高端迈进。“5”是大力培育五大新兴服务业。重点发展旅游文化、健康养老、电子信息、现代物流、研发设计业。大力推动文化与旅游产业深度融合，打造具有船营特色的文化旅游品牌。第一个“3”是提升壮大三大传统服务业。改造提升商贸业、房地产业、金融业，构建现代商贸体系，大力推动互联网与传统产业融合发展。第二个“3”是发展优化三大先进制造业。调整优化高端装备、电力电子、食品加工业，引进高科技、高附加值和低碳项目；发展战略性新兴产业，延伸产业链条。“1”是发展现代农业。大力发展特色精致高效农业，促进农业与旅游、健康养生等服务业产业融合发展。</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w:t>
            </w:r>
          </w:p>
          <w:p>
            <w:pPr>
              <w:rPr>
                <w:rFonts w:ascii="Times New Roman" w:hAnsi="Times New Roman" w:eastAsia="仿宋" w:cs="Times New Roman"/>
                <w:bCs/>
                <w:kern w:val="0"/>
              </w:rPr>
            </w:pPr>
            <w:r>
              <w:rPr>
                <w:rFonts w:ascii="Times New Roman" w:hAnsi="Times New Roman" w:eastAsia="仿宋" w:cs="Times New Roman"/>
                <w:bCs/>
                <w:kern w:val="0"/>
              </w:rPr>
              <w:t>人居安全、松花江吉林段七鳃鳗国家级水产种质资源保护区</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（1）改善区域水环境。</w:t>
            </w:r>
          </w:p>
          <w:p>
            <w:pPr>
              <w:rPr>
                <w:rFonts w:ascii="Times New Roman" w:hAnsi="Times New Roman" w:eastAsia="仿宋" w:cs="Times New Roman"/>
                <w:bCs/>
                <w:kern w:val="0"/>
              </w:rPr>
            </w:pPr>
            <w:r>
              <w:rPr>
                <w:rFonts w:ascii="Times New Roman" w:hAnsi="Times New Roman" w:eastAsia="仿宋" w:cs="Times New Roman"/>
                <w:bCs/>
                <w:kern w:val="0"/>
              </w:rPr>
              <w:t>（2）确保人类开发活动不挤占耕地。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71" w:name="_Toc27573205"/>
      <w:r>
        <w:rPr>
          <w:rFonts w:ascii="Times New Roman" w:hAnsi="Times New Roman" w:eastAsia="仿宋" w:cs="Times New Roman"/>
          <w:b/>
        </w:rPr>
        <w:t>表4-12-2吉林市船营区生态环境准入清单</w:t>
      </w:r>
      <w:bookmarkEnd w:id="71"/>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16"/>
        <w:gridCol w:w="2174"/>
        <w:gridCol w:w="1768"/>
        <w:gridCol w:w="1747"/>
        <w:gridCol w:w="9438"/>
        <w:gridCol w:w="41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8"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3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69"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ZH22020410001</w:t>
            </w:r>
          </w:p>
        </w:tc>
        <w:tc>
          <w:tcPr>
            <w:tcW w:w="51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松花江吉林段七鳃鳗国家级水产种质资源保护区</w:t>
            </w:r>
          </w:p>
        </w:tc>
        <w:tc>
          <w:tcPr>
            <w:tcW w:w="418"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6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ZH22020410002</w:t>
            </w:r>
          </w:p>
        </w:tc>
        <w:tc>
          <w:tcPr>
            <w:tcW w:w="51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船营区水土保持功能生态保护红线</w:t>
            </w:r>
          </w:p>
        </w:tc>
        <w:tc>
          <w:tcPr>
            <w:tcW w:w="418"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6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ZH22020410003</w:t>
            </w:r>
          </w:p>
        </w:tc>
        <w:tc>
          <w:tcPr>
            <w:tcW w:w="51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船营区水土保持功能重要区</w:t>
            </w:r>
          </w:p>
        </w:tc>
        <w:tc>
          <w:tcPr>
            <w:tcW w:w="418"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6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ZH22020420001</w:t>
            </w:r>
          </w:p>
        </w:tc>
        <w:tc>
          <w:tcPr>
            <w:tcW w:w="51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吉林高新技术产业开发区</w:t>
            </w:r>
          </w:p>
        </w:tc>
        <w:tc>
          <w:tcPr>
            <w:tcW w:w="418"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69"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大气环境高排放重点管控区、水环境工业污染重点管控区、吉林桦皮厂地热重点矿区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汽车及装备制造产业、新一代信息技术产业、现代服务业、电子及装备制造产业、节能环保与新能源产业、新材料产业、医药大健康、循环经济产业、轻工产业、职业教育产业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8"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8"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3严格落实规划环评及其批复文件制定的环境风险防范措施。</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6" w:hRule="atLeast"/>
        </w:trPr>
        <w:tc>
          <w:tcPr>
            <w:tcW w:w="453"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8"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ZH22020420002</w:t>
            </w:r>
          </w:p>
        </w:tc>
        <w:tc>
          <w:tcPr>
            <w:tcW w:w="51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吉林船营经济开发区</w:t>
            </w:r>
          </w:p>
        </w:tc>
        <w:tc>
          <w:tcPr>
            <w:tcW w:w="41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69"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建设全省规模最大的服务业集聚区，东三省物流主要枢纽地和集散地。</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商贸物流业（专业市场、商业综合体、特色商业街区、电子商务、现代物流等）、现代服务业（康养产业、教育产业、文化体育和娱乐产业、生产性服务企业等）、装备制造业、电子电力、食品加工、机械加工、人工智能、高新技术、新型材料、医药产业等相关产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3严格落实规划环评及其批复文件制定的环境风险防范措施。</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p>
            <w:pPr>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ZH22020420003</w:t>
            </w:r>
          </w:p>
        </w:tc>
        <w:tc>
          <w:tcPr>
            <w:tcW w:w="514"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船营区城镇开发边界</w:t>
            </w:r>
          </w:p>
        </w:tc>
        <w:tc>
          <w:tcPr>
            <w:tcW w:w="41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69" w:type="pct"/>
            <w:vMerge w:val="restart"/>
            <w:tcBorders>
              <w:left w:val="single" w:color="auto" w:sz="4" w:space="0"/>
              <w:right w:val="single" w:color="auto" w:sz="4" w:space="0"/>
            </w:tcBorders>
            <w:vAlign w:val="center"/>
          </w:tcPr>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大气环境受体敏感重点管控区、水环境城镇生活污染重点管控区、建设用地污染风险重点管控区、吉林桦皮厂地热重点矿区、高污染燃料禁燃区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全力打造“一城三区”，着力构建“5331”现代产业发展体系，推动产业向中高端迈进。</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生态环境保护“十四五”规划》《中共吉林省委 吉林省人民政府关于深入打好污染防治攻坚战的实施意见》，高污染燃料禁燃区管理规定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ZH22020420004</w:t>
            </w:r>
          </w:p>
        </w:tc>
        <w:tc>
          <w:tcPr>
            <w:tcW w:w="51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船营区大气环境高排放重点管控区</w:t>
            </w:r>
          </w:p>
        </w:tc>
        <w:tc>
          <w:tcPr>
            <w:tcW w:w="41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6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ZH22020420005</w:t>
            </w:r>
          </w:p>
        </w:tc>
        <w:tc>
          <w:tcPr>
            <w:tcW w:w="51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船营区大气环境布局敏感重点管控区</w:t>
            </w:r>
          </w:p>
        </w:tc>
        <w:tc>
          <w:tcPr>
            <w:tcW w:w="41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6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大气环境布局敏感重点管控区、建设用地污染风险重点管控区、吉林桦皮厂地热重点矿区、高污染燃料禁燃区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ZH22020420006</w:t>
            </w:r>
          </w:p>
        </w:tc>
        <w:tc>
          <w:tcPr>
            <w:tcW w:w="51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船营区大气环境弱扩散重点管控区</w:t>
            </w:r>
          </w:p>
        </w:tc>
        <w:tc>
          <w:tcPr>
            <w:tcW w:w="41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6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4"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ZH22020420007</w:t>
            </w:r>
          </w:p>
        </w:tc>
        <w:tc>
          <w:tcPr>
            <w:tcW w:w="51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吉林桦皮厂地热重点矿区</w:t>
            </w:r>
          </w:p>
        </w:tc>
        <w:tc>
          <w:tcPr>
            <w:tcW w:w="41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6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72" w:name="_Toc2309"/>
      <w:r>
        <w:rPr>
          <w:rFonts w:ascii="Times New Roman" w:hAnsi="Times New Roman" w:eastAsia="仿宋" w:cs="Times New Roman"/>
          <w:b/>
          <w:bCs/>
          <w:sz w:val="32"/>
          <w:szCs w:val="32"/>
        </w:rPr>
        <w:t>（十五） 吉林市丰满区</w:t>
      </w:r>
      <w:bookmarkEnd w:id="69"/>
      <w:r>
        <w:rPr>
          <w:rFonts w:ascii="Times New Roman" w:hAnsi="Times New Roman" w:eastAsia="仿宋" w:cs="Times New Roman"/>
          <w:b/>
          <w:bCs/>
          <w:sz w:val="32"/>
          <w:szCs w:val="32"/>
        </w:rPr>
        <w:t>生态环境准入清单</w:t>
      </w:r>
      <w:bookmarkEnd w:id="72"/>
    </w:p>
    <w:p>
      <w:pPr>
        <w:jc w:val="center"/>
        <w:rPr>
          <w:rFonts w:ascii="Times New Roman" w:hAnsi="Times New Roman" w:eastAsia="仿宋" w:cs="Times New Roman"/>
          <w:b/>
        </w:rPr>
      </w:pPr>
      <w:bookmarkStart w:id="73" w:name="_Toc27573207"/>
      <w:r>
        <w:rPr>
          <w:rFonts w:ascii="Times New Roman" w:hAnsi="Times New Roman" w:eastAsia="仿宋" w:cs="Times New Roman"/>
          <w:b/>
        </w:rPr>
        <w:t>表4-15-1吉林市丰满区区域特征研判</w:t>
      </w:r>
      <w:bookmarkEnd w:id="73"/>
    </w:p>
    <w:tbl>
      <w:tblPr>
        <w:tblStyle w:val="2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kern w:val="0"/>
                <w:szCs w:val="21"/>
              </w:rPr>
            </w:pPr>
            <w:r>
              <w:rPr>
                <w:rFonts w:ascii="Times New Roman" w:hAnsi="Times New Roman" w:eastAsia="仿宋" w:cs="Times New Roman"/>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1.《吉林省主体功能区规划》中的国家级重点开发区域。</w:t>
            </w:r>
          </w:p>
          <w:p>
            <w:pPr>
              <w:rPr>
                <w:rFonts w:ascii="Times New Roman" w:hAnsi="Times New Roman" w:eastAsia="仿宋" w:cs="Times New Roman"/>
                <w:kern w:val="0"/>
                <w:szCs w:val="21"/>
              </w:rPr>
            </w:pPr>
            <w:r>
              <w:rPr>
                <w:rFonts w:ascii="Times New Roman" w:hAnsi="Times New Roman" w:eastAsia="仿宋" w:cs="Times New Roman"/>
                <w:kern w:val="0"/>
                <w:szCs w:val="21"/>
              </w:rPr>
              <w:t>2.吉林市辖区，位于吉林省吉林市城市南部，总面积1062平方千米。辖7个街道、1个镇、3个乡。</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深入落实省委“一主六双”高质量发展战略和市委“四六四五”发展战略，重塑产业形态和重塑企业形态，推动产城实体融合、校城实体融合和旅城实体融合，大力实施丰满“两线四区”高质量发展核心片区布局。吉丰东线区域打造文化研学和生态观光体验带；吉丰西线构建滨水娱乐和休闲度假旅游带。重点打造南部新城现代服务业集聚区、松花湖区域文旅休闲示范区、石井科创产业园区和高速环线新型工业发展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hint="eastAsia" w:ascii="Times New Roman" w:hAnsi="Times New Roman" w:eastAsia="仿宋" w:cs="Times New Roman"/>
                <w:bCs/>
                <w:kern w:val="0"/>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p>
          <w:p>
            <w:pPr>
              <w:rPr>
                <w:rFonts w:ascii="Times New Roman" w:hAnsi="Times New Roman" w:eastAsia="仿宋" w:cs="Times New Roman"/>
                <w:bCs/>
                <w:kern w:val="0"/>
                <w:szCs w:val="21"/>
              </w:rPr>
            </w:pPr>
            <w:r>
              <w:rPr>
                <w:rFonts w:ascii="Times New Roman" w:hAnsi="Times New Roman" w:eastAsia="仿宋" w:cs="Times New Roman"/>
                <w:szCs w:val="21"/>
              </w:rPr>
              <w:t>吉林松花江三湖国家级自然保护区、朱雀山国家森林公园、吉林旺起省级森林公园、吉林松花湖国家级风景名胜区、吉林松花湖国家级风景名胜区、吉林市城区松花江饮用水水源保护区、松花江吉林段七鳃鳗国家级水产种质资源保护区、松花江水功能区一级区保护区、黑土地资源。</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（1）改善区域水环境。</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74" w:name="_Toc27573208"/>
      <w:r>
        <w:rPr>
          <w:rFonts w:ascii="Times New Roman" w:hAnsi="Times New Roman" w:eastAsia="仿宋" w:cs="Times New Roman"/>
          <w:b/>
        </w:rPr>
        <w:t>表4-15-2吉林市丰满区生态环境准入清单</w:t>
      </w:r>
      <w:bookmarkEnd w:id="74"/>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01"/>
        <w:gridCol w:w="2170"/>
        <w:gridCol w:w="1764"/>
        <w:gridCol w:w="1747"/>
        <w:gridCol w:w="9658"/>
        <w:gridCol w:w="38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3"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7"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899"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ZH22021110001</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吉林松花江三湖国家级自然保护区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ZH22021110002</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朱雀山国家森林公园</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ZH22021110003</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吉林旺起省级森林公园</w:t>
            </w:r>
          </w:p>
        </w:tc>
        <w:tc>
          <w:tcPr>
            <w:tcW w:w="417"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生态保护红线内江河源头区域执行《水功能区监督管理办法》相关要求。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森林公园、水产种质资源保护区、江河源头区域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ZH22021110004</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吉林松花湖国家级风景名胜区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2生态保护红线内风景名胜区执行《风景名胜区条例》相关要求。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风景名胜区、水产种质资源保护区、江河源头区域、水土保持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ZH22021110005</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吉林松花湖国家级风景名胜区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2风景名胜区执行《风景名胜区条例》相关要求。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3水产种质资源保护区执行《水产种质资源保护区管理办法》相关要求。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4饮用水水源保护区执行《中华人民共和国水污染防治法》《饮用水水源保护区污染防治管理规定》《吉林省城镇饮用水水源保护条例》相关要求。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5禁止在松花湖水域围湖造田、禁止侵占滩涂地（水淹地）、禁止任何单位和个人擅自从事捕捞活动。</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一般生态空间、大气环境优先保护区、水环境优先保护区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风景名胜区、饮用水水源保护区、水产种质资源保护区、江河源头区域</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结合《关于进一步优化松花湖渔业资源环境的通告》提出。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ZH22021110006</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吉林市城区松花江饮用水水源保护区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ZH22021110007</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松花江吉林段七鳃鳗国家级水产种质资源保护区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ZH22021110008</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松花江水功能区一级区保护区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ZH22021110009</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丰满区水源涵养功能重要区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8江河源头区域执行《水功能区监督管理办法》相关要求。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ZH22021110010</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丰满区水土保持功能生态保护红线</w:t>
            </w:r>
          </w:p>
        </w:tc>
        <w:tc>
          <w:tcPr>
            <w:tcW w:w="41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2生态保护红线内风景名胜区执行《风景名胜区条例》相关要求。</w:t>
            </w:r>
          </w:p>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生态保护红线内水产种质资源保护区执行《水产种质资源保护区管理办法》相关要求。</w:t>
            </w:r>
          </w:p>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4</w:t>
            </w:r>
            <w:r>
              <w:rPr>
                <w:rFonts w:ascii="Times New Roman" w:hAnsi="Times New Roman" w:eastAsia="仿宋" w:cs="Times New Roman"/>
                <w:kern w:val="0"/>
                <w:sz w:val="20"/>
                <w:szCs w:val="20"/>
              </w:rPr>
              <w:t>生态保护红线内江河源头区域执行《水功能区监督管理办法》相关要求。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r>
              <w:rPr>
                <w:rFonts w:hint="eastAsia" w:ascii="Times New Roman" w:hAnsi="Times New Roman" w:eastAsia="仿宋" w:cs="Times New Roman"/>
                <w:sz w:val="20"/>
                <w:szCs w:val="20"/>
              </w:rPr>
              <w:t>风景名胜区、</w:t>
            </w:r>
            <w:r>
              <w:rPr>
                <w:rFonts w:ascii="Times New Roman" w:hAnsi="Times New Roman" w:eastAsia="仿宋" w:cs="Times New Roman"/>
                <w:bCs/>
                <w:kern w:val="0"/>
                <w:sz w:val="20"/>
                <w:szCs w:val="20"/>
              </w:rPr>
              <w:t>水产种质资源保护区、江河源头区域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ZH22021110011</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丰满区水土保持功能重要区</w:t>
            </w:r>
          </w:p>
        </w:tc>
        <w:tc>
          <w:tcPr>
            <w:tcW w:w="41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ZH22021110012</w:t>
            </w:r>
          </w:p>
        </w:tc>
        <w:tc>
          <w:tcPr>
            <w:tcW w:w="51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丰满区水土流失敏感区</w:t>
            </w:r>
          </w:p>
        </w:tc>
        <w:tc>
          <w:tcPr>
            <w:tcW w:w="417"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ZH22021120001</w:t>
            </w:r>
          </w:p>
        </w:tc>
        <w:tc>
          <w:tcPr>
            <w:tcW w:w="51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吉林丰满经济开发区</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899" w:type="pct"/>
            <w:vMerge w:val="restart"/>
            <w:tcBorders>
              <w:left w:val="single" w:color="auto" w:sz="4" w:space="0"/>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科技创新孵化区、先进制造引领区、产城融合示范区、现代服务集聚区”，加快南部新城片区建设，实现产业结构重构，服务业转型升级，实现高端化、特色化、品牌化的集中展示区，打造校城融合、校产融合、文商旅融合，实现科学技术培育、研发、转化效率</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 xml:space="preserve">经济高质量发展动能转换衔接。 </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新一代信息技术产业、新能源产业、健康产业、制造业、现代服务业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p>
            <w:pPr>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ZH22021120002</w:t>
            </w:r>
          </w:p>
        </w:tc>
        <w:tc>
          <w:tcPr>
            <w:tcW w:w="51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吉林高新技术产业开发区</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899" w:type="pct"/>
            <w:vMerge w:val="restar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汽车及装备制造产业、新一代信息技术产业、现代服务业、电子及装备制造产业、节能环保与新能源产业、新材料产业、医药大健康、循环经济产业、轻工产业、职业教育产业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3严格落实规划环评及其批复文件制定的环境风险防范措施。</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b/>
                <w:color w:val="FF0000"/>
                <w:kern w:val="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1完成吉林省下达的产能置换要求。各产业执行对应的清洁生产标准。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tc>
        <w:tc>
          <w:tcPr>
            <w:tcW w:w="899" w:type="pct"/>
            <w:vMerge w:val="continue"/>
            <w:tcBorders>
              <w:left w:val="single" w:color="auto" w:sz="4" w:space="0"/>
              <w:right w:val="single" w:color="auto" w:sz="4" w:space="0"/>
            </w:tcBorders>
            <w:vAlign w:val="center"/>
          </w:tcPr>
          <w:p>
            <w:pPr>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ZH22021120003</w:t>
            </w:r>
          </w:p>
        </w:tc>
        <w:tc>
          <w:tcPr>
            <w:tcW w:w="513"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丰满区城镇开发边界</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899"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rPr>
                <w:rFonts w:ascii="Times New Roman" w:hAnsi="Times New Roman" w:eastAsia="仿宋" w:cs="Times New Roman"/>
                <w:b/>
                <w:bCs/>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全面实施丰满区“两线四区”高质量发展核心片区布局，吉丰东线区域构建文化研学和生态观光体验带，吉丰西线区域构建滨水娱乐和休闲度假旅游带，重点打造南部新城现代服务业集聚区、松花湖区域文旅休闲示范区、石井科创产业园区和高速环线新型工业发展区</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生态环境保护“十四五”规划》《中共吉林省委 吉林省人民政府关于深入打好污染防治攻坚战的实施意见》，高污染燃料禁燃区管理规定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899" w:type="pct"/>
            <w:vMerge w:val="continue"/>
            <w:tcBorders>
              <w:left w:val="single" w:color="auto" w:sz="4" w:space="0"/>
              <w:right w:val="single" w:color="auto" w:sz="4" w:space="0"/>
            </w:tcBorders>
            <w:vAlign w:val="center"/>
          </w:tcPr>
          <w:p>
            <w:pPr>
              <w:rPr>
                <w:rFonts w:ascii="Times New Roman" w:hAnsi="Times New Roman" w:eastAsia="仿宋" w:cs="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ZH22021120004</w:t>
            </w:r>
          </w:p>
        </w:tc>
        <w:tc>
          <w:tcPr>
            <w:tcW w:w="51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丰满区大气环境高排放重点管控区</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89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大气环境高排放重点管控区、建设用地污染风险重点管控区、高污染燃料禁燃区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ZH22021120005</w:t>
            </w:r>
          </w:p>
        </w:tc>
        <w:tc>
          <w:tcPr>
            <w:tcW w:w="51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丰满区大气环境布局敏感重点管控区</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89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ZH22021120006</w:t>
            </w:r>
          </w:p>
        </w:tc>
        <w:tc>
          <w:tcPr>
            <w:tcW w:w="51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丰满区大气环境弱扩散重点管控区</w:t>
            </w:r>
          </w:p>
        </w:tc>
        <w:tc>
          <w:tcPr>
            <w:tcW w:w="41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899"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73" w:type="pct"/>
            <w:vMerge w:val="continue"/>
            <w:shd w:val="clear" w:color="auto" w:fill="auto"/>
            <w:vAlign w:val="center"/>
          </w:tcPr>
          <w:p>
            <w:pPr>
              <w:widowControl/>
              <w:jc w:val="left"/>
              <w:rPr>
                <w:rFonts w:ascii="Times New Roman" w:hAnsi="Times New Roman" w:eastAsia="仿宋" w:cs="Times New Roman"/>
                <w:sz w:val="20"/>
                <w:szCs w:val="20"/>
              </w:rPr>
            </w:pPr>
          </w:p>
        </w:tc>
        <w:tc>
          <w:tcPr>
            <w:tcW w:w="51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9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ZH22021120007</w:t>
            </w:r>
          </w:p>
        </w:tc>
        <w:tc>
          <w:tcPr>
            <w:tcW w:w="51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丰满区高污染燃料禁燃区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Ⅲ类执行；高污染燃料禁燃区内，禁止新建、改建、扩建高污染燃料设施（集中供热、电厂锅炉除外）；禁止任何单位和个人销售高污染燃料；禁燃区内，禁止燃用煤炭及其制品（集中供热、电厂锅炉除外）；禁止燃用石油焦、油页岩、原油、重油、渣油、煤焦油；禁止非专用锅炉或未配置高效除尘设施的专用锅炉燃用的生物质成型燃料；高污染燃料禁燃区内，因集中供热管网、天然气管网未覆盖、热源、气源不足或生产需要等原因暂不具备并网条件，可选择使用生物质气化锅炉或生物质专用锅炉配置高效除尘设施，并燃用生物质成型燃料，保证长期稳定达标排放；禁燃区内，各城区政府、相关开发区管委会要加快推进所辖“棚户区”“城中村”改造，推广使用民用清洁燃料设备。</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高污染燃料禁燃区管理规定。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3"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ZH22021130001</w:t>
            </w:r>
          </w:p>
        </w:tc>
        <w:tc>
          <w:tcPr>
            <w:tcW w:w="513"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丰满区一般管控区</w:t>
            </w:r>
          </w:p>
        </w:tc>
        <w:tc>
          <w:tcPr>
            <w:tcW w:w="417"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8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899"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75" w:name="_Toc27573209"/>
      <w:bookmarkStart w:id="76" w:name="_Toc11241"/>
      <w:r>
        <w:rPr>
          <w:rFonts w:ascii="Times New Roman" w:hAnsi="Times New Roman" w:eastAsia="仿宋" w:cs="Times New Roman"/>
          <w:b/>
          <w:bCs/>
          <w:sz w:val="32"/>
          <w:szCs w:val="32"/>
        </w:rPr>
        <w:t>（十六） 吉林市永吉县</w:t>
      </w:r>
      <w:bookmarkEnd w:id="75"/>
      <w:r>
        <w:rPr>
          <w:rFonts w:ascii="Times New Roman" w:hAnsi="Times New Roman" w:eastAsia="仿宋" w:cs="Times New Roman"/>
          <w:b/>
          <w:bCs/>
          <w:sz w:val="32"/>
          <w:szCs w:val="32"/>
        </w:rPr>
        <w:t>生态环境准入清单</w:t>
      </w:r>
      <w:bookmarkEnd w:id="76"/>
    </w:p>
    <w:p>
      <w:pPr>
        <w:jc w:val="center"/>
        <w:rPr>
          <w:rFonts w:ascii="Times New Roman" w:hAnsi="Times New Roman" w:eastAsia="仿宋" w:cs="Times New Roman"/>
          <w:b/>
        </w:rPr>
      </w:pPr>
      <w:bookmarkStart w:id="77" w:name="_Toc27573210"/>
      <w:r>
        <w:rPr>
          <w:rFonts w:ascii="Times New Roman" w:hAnsi="Times New Roman" w:eastAsia="仿宋" w:cs="Times New Roman"/>
          <w:b/>
        </w:rPr>
        <w:t>表4-16-1吉林市永吉县区域特征研判</w:t>
      </w:r>
      <w:bookmarkEnd w:id="77"/>
    </w:p>
    <w:tbl>
      <w:tblPr>
        <w:tblStyle w:val="2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1.《吉林省主体功能区规划》中的国家级农产品主产区。</w:t>
            </w:r>
          </w:p>
          <w:p>
            <w:pPr>
              <w:rPr>
                <w:rFonts w:ascii="Times New Roman" w:hAnsi="Times New Roman" w:eastAsia="仿宋" w:cs="Times New Roman"/>
                <w:kern w:val="0"/>
              </w:rPr>
            </w:pPr>
            <w:r>
              <w:rPr>
                <w:rFonts w:ascii="Times New Roman" w:hAnsi="Times New Roman" w:eastAsia="仿宋" w:cs="Times New Roman"/>
                <w:kern w:val="0"/>
              </w:rPr>
              <w:t>2. 为吉林省吉林市下辖县，位于吉林省中东部，东与吉林市丰满区接壤，南与桦甸、磐石两市相邻，西和长春市双阳区隔饮马河相望，北与九台市、吉林市船营区及丰满区前二道乡毗连。总面积2625平方千米。辖7个镇、2个乡、1个省级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突出“一城一区三带”建设，巩固提升工业支柱产业，积极发展现代服务业，培育扶持新兴产业，着力构建具有永吉特色的现代产业新体系，努力建设经济繁荣、城乡美丽、社会和谐、人民幸福的魅力永吉。</w:t>
            </w:r>
          </w:p>
          <w:p>
            <w:pPr>
              <w:rPr>
                <w:rFonts w:ascii="Times New Roman" w:hAnsi="Times New Roman" w:eastAsia="仿宋" w:cs="Times New Roman"/>
                <w:kern w:val="0"/>
              </w:rPr>
            </w:pPr>
            <w:r>
              <w:rPr>
                <w:rFonts w:ascii="Times New Roman" w:hAnsi="Times New Roman" w:eastAsia="仿宋" w:cs="Times New Roman"/>
                <w:bCs/>
                <w:kern w:val="0"/>
              </w:rPr>
              <w:t>深入实施转型升级、提质增效、技术创新、产业集群工程，培育装备制造、汽车部件、冶金、建材、农产品加工“五大支柱”产业振兴，推进战略性新兴产业快速发展，为全县工业经济快速发展提供强力支撑。</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hint="eastAsia" w:ascii="Times New Roman" w:hAnsi="Times New Roman" w:eastAsia="仿宋" w:cs="Times New Roman"/>
                <w:bCs/>
                <w:kern w:val="0"/>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w:t>
            </w:r>
          </w:p>
          <w:p>
            <w:pPr>
              <w:rPr>
                <w:rFonts w:ascii="Times New Roman" w:hAnsi="Times New Roman" w:eastAsia="仿宋" w:cs="Times New Roman"/>
                <w:bCs/>
                <w:kern w:val="0"/>
              </w:rPr>
            </w:pPr>
            <w:r>
              <w:rPr>
                <w:rFonts w:ascii="Times New Roman" w:hAnsi="Times New Roman" w:eastAsia="仿宋" w:cs="Times New Roman"/>
                <w:bCs/>
                <w:kern w:val="0"/>
              </w:rPr>
              <w:t>吉林九台湿地省级自然保护区、吉林永吉歪头山省级森林公园、石头口门水库饮用水水源保护区、国家级公益林、黑土地资源。</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78" w:name="_Toc27573211"/>
      <w:r>
        <w:rPr>
          <w:rFonts w:ascii="Times New Roman" w:hAnsi="Times New Roman" w:eastAsia="仿宋" w:cs="Times New Roman"/>
          <w:b/>
        </w:rPr>
        <w:t>表4-16-2吉林市永吉县生态环境准入清单</w:t>
      </w:r>
      <w:bookmarkEnd w:id="78"/>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82"/>
        <w:gridCol w:w="2157"/>
        <w:gridCol w:w="1747"/>
        <w:gridCol w:w="1701"/>
        <w:gridCol w:w="9679"/>
        <w:gridCol w:w="39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3"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8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40"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ZH22022110001</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吉林九台湿地省级自然保护区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w:t>
            </w:r>
            <w:r>
              <w:rPr>
                <w:rFonts w:ascii="Times New Roman" w:hAnsi="Times New Roman" w:eastAsia="仿宋" w:cs="Times New Roman"/>
                <w:sz w:val="20"/>
                <w:szCs w:val="20"/>
              </w:rPr>
              <w:t>饮用水水源保护区执行《中华人民共和国水污染防治法》《饮用水水源保护区污染防治管理规定》《吉林省城镇饮用水水源保护条例》相关要求。</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ZH22022110002</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吉林永吉歪头山省级森林公园</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ZH22022110003</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石头口门水库饮用水水源保护区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w:t>
            </w:r>
            <w:r>
              <w:rPr>
                <w:rFonts w:hint="eastAsia" w:ascii="Times New Roman" w:hAnsi="Times New Roman" w:eastAsia="仿宋" w:cs="Times New Roman"/>
                <w:bCs/>
                <w:kern w:val="0"/>
                <w:sz w:val="20"/>
                <w:szCs w:val="20"/>
              </w:rPr>
              <w:t>4</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永吉县黑土地保护区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w:t>
            </w:r>
            <w:r>
              <w:rPr>
                <w:rFonts w:hint="eastAsia" w:ascii="Times New Roman" w:hAnsi="Times New Roman" w:eastAsia="仿宋" w:cs="Times New Roman"/>
                <w:bCs/>
                <w:kern w:val="0"/>
                <w:sz w:val="20"/>
                <w:szCs w:val="20"/>
              </w:rPr>
              <w:t>5</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永吉县水源涵养功能生态保护红线</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w:t>
            </w:r>
            <w:r>
              <w:rPr>
                <w:rFonts w:hint="eastAsia" w:ascii="Times New Roman" w:hAnsi="Times New Roman" w:eastAsia="仿宋" w:cs="Times New Roman"/>
                <w:bCs/>
                <w:kern w:val="0"/>
                <w:sz w:val="20"/>
                <w:szCs w:val="20"/>
              </w:rPr>
              <w:t>6</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永吉县水源涵养功能重要区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6禁止在沙化土地上砍挖灌木、药材及其他固沙植物。在沙化土地封禁保护区范围内，禁止一切破坏植被的活动。禁止在沙化土地封禁保护区范围内安置移民。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7原则上不再新建各类产业园区，严禁随意扩大现有产业园区范围。以工业为主的产业园区应加快完成园区的循环化改造，鼓励推进低消耗、可循环、少排放的生态型工业区建设。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 xml:space="preserve">9黑土地保护区执行《吉林省黑土地保护条例》相关要求。推广秸秆还田、机械深松、施用有机肥、土壤养分调控等技术；推行“一翻两免”耕作技术模式；建立农牧结合、种养循环试点，有效利用畜禽粪便资源。 </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w:t>
            </w:r>
            <w:r>
              <w:rPr>
                <w:rFonts w:hint="eastAsia" w:ascii="Times New Roman" w:hAnsi="Times New Roman" w:eastAsia="仿宋" w:cs="Times New Roman"/>
                <w:bCs/>
                <w:kern w:val="0"/>
                <w:sz w:val="20"/>
                <w:szCs w:val="20"/>
              </w:rPr>
              <w:t>7</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永吉县松嫩平原水土保持功能生态保护红线</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ZH2202211000</w:t>
            </w:r>
            <w:r>
              <w:rPr>
                <w:rFonts w:hint="eastAsia" w:ascii="Times New Roman" w:hAnsi="Times New Roman" w:eastAsia="仿宋" w:cs="Times New Roman"/>
                <w:bCs/>
                <w:kern w:val="0"/>
                <w:sz w:val="20"/>
                <w:szCs w:val="20"/>
              </w:rPr>
              <w:t>8</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永吉县水土保持功能重要区</w:t>
            </w:r>
          </w:p>
        </w:tc>
        <w:tc>
          <w:tcPr>
            <w:tcW w:w="413"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 xml:space="preserve">5黑土地保护区执行《吉林省黑土地保护条例》相关要求。推广秸秆还田、机械深松、施用有机肥、土壤养分调控等技术；推行“一翻两免”耕作技术模式；建立农牧结合、种养循环试点，有效利用畜禽粪便资源。 </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ZH220221100</w:t>
            </w:r>
            <w:r>
              <w:rPr>
                <w:rFonts w:hint="eastAsia" w:ascii="Times New Roman" w:hAnsi="Times New Roman" w:eastAsia="仿宋" w:cs="Times New Roman"/>
                <w:bCs/>
                <w:kern w:val="0"/>
                <w:sz w:val="20"/>
                <w:szCs w:val="20"/>
              </w:rPr>
              <w:t>09</w:t>
            </w:r>
          </w:p>
        </w:tc>
        <w:tc>
          <w:tcPr>
            <w:tcW w:w="51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永吉县水土流失敏感区</w:t>
            </w:r>
          </w:p>
        </w:tc>
        <w:tc>
          <w:tcPr>
            <w:tcW w:w="413"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ZH2202212000</w:t>
            </w:r>
            <w:r>
              <w:rPr>
                <w:rFonts w:hint="eastAsia" w:ascii="Times New Roman" w:hAnsi="Times New Roman" w:eastAsia="仿宋" w:cs="Times New Roman"/>
                <w:sz w:val="20"/>
                <w:szCs w:val="20"/>
              </w:rPr>
              <w:t>1</w:t>
            </w:r>
          </w:p>
        </w:tc>
        <w:tc>
          <w:tcPr>
            <w:tcW w:w="510"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吉林永吉经济开发区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严格禁止造纸、水泥、钢铁、炼钢、化工、固体废物集中焚烧等行业以及不符合园区产业发展方向，能耗、物耗较大，污染严重的项目入区。</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永吉经济开发区要提高区内土地开发、建设与经营管理质量。加强领导，统筹规划，提高单位地块的开发效益。优先发展装备制造、新材料产业，兼顾发展粮食深加工、医药健康及高新产业。</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装备制造（汽车零部件、电子信息及其他装备制造）、新材料、医药健康</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3"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3"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bCs/>
                <w:kern w:val="0"/>
                <w:sz w:val="20"/>
                <w:szCs w:val="20"/>
              </w:rPr>
            </w:pPr>
          </w:p>
        </w:tc>
        <w:tc>
          <w:tcPr>
            <w:tcW w:w="413"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ZH2202212000</w:t>
            </w:r>
            <w:r>
              <w:rPr>
                <w:rFonts w:hint="eastAsia" w:ascii="Times New Roman" w:hAnsi="Times New Roman" w:eastAsia="仿宋" w:cs="Times New Roman"/>
                <w:sz w:val="20"/>
                <w:szCs w:val="20"/>
              </w:rPr>
              <w:t>2</w:t>
            </w:r>
          </w:p>
        </w:tc>
        <w:tc>
          <w:tcPr>
            <w:tcW w:w="510"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吉林（中国-新加坡）食品区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大气环境高排放重点管控区、水环境工业污染重点管控区、建设用地污染风险重点管控区、吉林桦皮厂地热重点矿区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规划将中新食品城发展定位为“一区一城四示范”：“一区”指国际安全健康食品区，“一城”指世界一流的生态食品城，“四示范”指安全健康食品生产示范区，现代农业发展示范区，“三化”（城镇化、工业化和农业现代化）统筹示范区，长吉图开放开发战略先行先试示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农、林、牧、渔专业及辅助性活动、农副食品加工业食品制造业、酒、饮料和精制茶制造业、医药制造业、专用设备制造业、电力、热力生产和供应业、热力生产和供应工程、公共设施管理业、社会事业与服务业、旅游开发、装卸搬运和仓储业、研究和试验发展、物流、休闲观光活动、居住商贸、土砂石开采、其他采矿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ZH22022120003</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吉林北大湖体育旅游经济开发区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集自然景观独特、服务设施先进、地域文化浓郁、滑雪竞赛和训练、温泉康体养生、生态人居地产于一体的国内首创、世界一流的旅游休闲度假区和生态宜居小城</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体育、旅游业和户外运动装备产业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加大燃煤锅炉达标排放监管力度，提升除尘效率。</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ZH22022120004</w:t>
            </w:r>
          </w:p>
        </w:tc>
        <w:tc>
          <w:tcPr>
            <w:tcW w:w="510"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永吉县城镇开发边界</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40"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40" w:type="pct"/>
            <w:vMerge w:val="continue"/>
            <w:tcBorders>
              <w:left w:val="single" w:color="auto" w:sz="4" w:space="0"/>
              <w:right w:val="single" w:color="auto" w:sz="4" w:space="0"/>
            </w:tcBorders>
            <w:vAlign w:val="center"/>
          </w:tcPr>
          <w:p>
            <w:pPr>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ZH22022120005</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永吉县大气环境高排放重点管控区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ZH22022120006</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永吉县大气环境布局敏感重点管控区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基于“三线”研究成果提出，结合《吉林省矿产资源总体规划（2021-2025年）》《吉林省生态环境保护“十四五”规划》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ZH22022120007</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永吉县大气环境弱扩散重点管控区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ZH22022120008</w:t>
            </w:r>
          </w:p>
        </w:tc>
        <w:tc>
          <w:tcPr>
            <w:tcW w:w="51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永吉县建设用地污染风险重点管控区</w:t>
            </w:r>
          </w:p>
        </w:tc>
        <w:tc>
          <w:tcPr>
            <w:tcW w:w="41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40"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vMerge w:val="continue"/>
            <w:shd w:val="clear" w:color="auto" w:fill="auto"/>
            <w:vAlign w:val="center"/>
          </w:tcPr>
          <w:p>
            <w:pPr>
              <w:widowControl/>
              <w:jc w:val="left"/>
              <w:rPr>
                <w:rFonts w:ascii="Times New Roman" w:hAnsi="Times New Roman" w:eastAsia="仿宋" w:cs="Times New Roman"/>
                <w:sz w:val="20"/>
                <w:szCs w:val="20"/>
              </w:rPr>
            </w:pPr>
          </w:p>
        </w:tc>
        <w:tc>
          <w:tcPr>
            <w:tcW w:w="51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8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ZH22022120009</w:t>
            </w:r>
          </w:p>
        </w:tc>
        <w:tc>
          <w:tcPr>
            <w:tcW w:w="51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吉林桦皮厂地热重点矿区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吉林桦皮厂地热重点矿区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5"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ZH22022130001</w:t>
            </w:r>
          </w:p>
        </w:tc>
        <w:tc>
          <w:tcPr>
            <w:tcW w:w="510"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永吉县一般管控区</w:t>
            </w:r>
          </w:p>
        </w:tc>
        <w:tc>
          <w:tcPr>
            <w:tcW w:w="41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40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8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4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79" w:name="_Toc13050"/>
      <w:bookmarkStart w:id="80" w:name="_Toc27573218"/>
      <w:bookmarkStart w:id="81" w:name="_Toc27573212"/>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七</w:t>
      </w:r>
      <w:r>
        <w:rPr>
          <w:rFonts w:ascii="Times New Roman" w:hAnsi="Times New Roman" w:eastAsia="仿宋" w:cs="Times New Roman"/>
          <w:b/>
          <w:bCs/>
          <w:sz w:val="32"/>
          <w:szCs w:val="32"/>
        </w:rPr>
        <w:t>） 吉林市蛟河市生态环境准入清单</w:t>
      </w:r>
      <w:bookmarkEnd w:id="79"/>
    </w:p>
    <w:p>
      <w:pPr>
        <w:jc w:val="center"/>
        <w:rPr>
          <w:rFonts w:ascii="Times New Roman" w:hAnsi="Times New Roman" w:eastAsia="仿宋" w:cs="Times New Roman"/>
          <w:b/>
        </w:rPr>
      </w:pPr>
      <w:bookmarkStart w:id="82" w:name="_Toc27573213"/>
      <w:r>
        <w:rPr>
          <w:rFonts w:ascii="Times New Roman" w:hAnsi="Times New Roman" w:eastAsia="仿宋" w:cs="Times New Roman"/>
          <w:b/>
        </w:rPr>
        <w:t>表4-19-1吉林市蛟河市区域特征研判</w:t>
      </w:r>
      <w:bookmarkEnd w:id="82"/>
    </w:p>
    <w:tbl>
      <w:tblPr>
        <w:tblStyle w:val="2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8194"/>
        <w:gridCol w:w="3591"/>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93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84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1.《吉林省主体功能区规划》中的国家级农产品主产区。</w:t>
            </w:r>
          </w:p>
          <w:p>
            <w:pPr>
              <w:rPr>
                <w:rFonts w:ascii="Times New Roman" w:hAnsi="Times New Roman" w:eastAsia="仿宋" w:cs="Times New Roman"/>
                <w:kern w:val="0"/>
              </w:rPr>
            </w:pPr>
            <w:r>
              <w:rPr>
                <w:rFonts w:ascii="Times New Roman" w:hAnsi="Times New Roman" w:eastAsia="仿宋" w:cs="Times New Roman"/>
                <w:kern w:val="0"/>
              </w:rPr>
              <w:t>2. 隶属于吉林省吉林市，位于吉林市东部，总面积6429平方千米。辖6个街道、8个镇、2个乡、2个省级经济开发区、1个县级经济开发区。</w:t>
            </w:r>
          </w:p>
        </w:tc>
        <w:tc>
          <w:tcPr>
            <w:tcW w:w="193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
                <w:bCs/>
                <w:kern w:val="0"/>
              </w:rPr>
            </w:pPr>
            <w:r>
              <w:rPr>
                <w:rFonts w:ascii="Times New Roman" w:hAnsi="Times New Roman" w:eastAsia="仿宋" w:cs="Times New Roman"/>
                <w:bCs/>
                <w:kern w:val="0"/>
              </w:rPr>
              <w:t>以宜居、宜业、宜游为方向，强化创新、统筹、绿色、开发、共享“五种思维”，发挥生态、产业、资源、区位、平台“五个优势”，抓好农业特色、医药健康、新型能源、生态旅游、现代服务业“五项产业”，推动新型工业化、信息化、城镇化、农业现代化深度融合，着力建设法治蛟河、生态蛟河、开放蛟河、幸福蛟河。</w:t>
            </w:r>
          </w:p>
          <w:p>
            <w:pPr>
              <w:rPr>
                <w:rFonts w:ascii="Times New Roman" w:hAnsi="Times New Roman" w:eastAsia="仿宋" w:cs="Times New Roman"/>
                <w:bCs/>
                <w:kern w:val="0"/>
              </w:rPr>
            </w:pPr>
            <w:r>
              <w:rPr>
                <w:rFonts w:ascii="Times New Roman" w:hAnsi="Times New Roman" w:eastAsia="仿宋" w:cs="Times New Roman"/>
                <w:bCs/>
                <w:kern w:val="0"/>
              </w:rPr>
              <w:t>依托产业基础和特色资源优势，全力发展壮大医药健康产业、长白山特产加工业、矿产建材业及装备制造业，培育打造新能源、节能环保等战略新兴产业。</w:t>
            </w:r>
          </w:p>
          <w:p>
            <w:pPr>
              <w:rPr>
                <w:rFonts w:ascii="Times New Roman" w:hAnsi="Times New Roman" w:eastAsia="仿宋" w:cs="Times New Roman"/>
                <w:bCs/>
                <w:kern w:val="0"/>
              </w:rPr>
            </w:pPr>
            <w:r>
              <w:rPr>
                <w:rFonts w:ascii="Times New Roman" w:hAnsi="Times New Roman" w:eastAsia="仿宋" w:cs="Times New Roman"/>
                <w:bCs/>
                <w:kern w:val="0"/>
              </w:rPr>
              <w:t>“54321”发展战略，“5”是指“五大战略”，即工业强市战略、旅游兴市战略、环境立市战略、乡村振兴战略、创新引领战略；“4”是指“四个经济发展动力源”，即医药健康、新能源新材料、旅游商贸和长白山特产品加工；“3”是指“三个城市定位”，即长吉图重要节点城市、生态旅游名城、长白山特色产业名城；“2”是指“两个发展极”，即全力打造天岗石材产业园区、蛟河经济开发区2个省级开发区，力争进入省级开发区20强；“1”是指“一个新征程”，即综合实力跻身全省县域15强，踏上全面建设社会主义现代化强市新征程。</w:t>
            </w:r>
          </w:p>
        </w:tc>
        <w:tc>
          <w:tcPr>
            <w:tcW w:w="84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w:t>
            </w:r>
          </w:p>
          <w:p>
            <w:pPr>
              <w:rPr>
                <w:rFonts w:ascii="Times New Roman" w:hAnsi="Times New Roman" w:eastAsia="仿宋" w:cs="Times New Roman"/>
                <w:bCs/>
                <w:kern w:val="0"/>
              </w:rPr>
            </w:pPr>
            <w:r>
              <w:rPr>
                <w:rFonts w:ascii="Times New Roman" w:hAnsi="Times New Roman" w:eastAsia="仿宋" w:cs="Times New Roman"/>
                <w:bCs/>
                <w:kern w:val="0"/>
              </w:rPr>
              <w:t>吉林松花江三湖国家级自然保护区、吉林威虎岭省级自然保护区、吉林红石国家森林公园、吉林白石山国家森林公园、吉林拉法山国家森林公园、吉林松花湖国家级风景名胜区、蛟河市生活饮用水水源保护区、蛟河市团山子水库生活饮用水水源保护区、吉林松花湖特有鱼类国家级水产种质资源保护区、国家级公益林、蛟河水功能区一级区保护区、黑土地资源。</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83" w:name="_Toc27573214"/>
      <w:r>
        <w:rPr>
          <w:rFonts w:ascii="Times New Roman" w:hAnsi="Times New Roman" w:eastAsia="仿宋" w:cs="Times New Roman"/>
          <w:b/>
        </w:rPr>
        <w:t>表4-19-2吉林市蛟河市生态环境准入清单</w:t>
      </w:r>
      <w:bookmarkEnd w:id="83"/>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21"/>
        <w:gridCol w:w="2365"/>
        <w:gridCol w:w="1620"/>
        <w:gridCol w:w="1713"/>
        <w:gridCol w:w="9531"/>
        <w:gridCol w:w="39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5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3"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5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44"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ZH22028110001</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吉林松花江三湖国家级自然保护区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4生态保护红线内重要湿地执行《中华人民共和国湿地保护法》《湿地保护管理规定》《吉林省湿地保护条例》《关于特别是作为水禽栖息地的国际重要湿地公约》相关要求。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5生态保护红线内江河源头区域执行《水功能区监督管理办法》相关要求。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自然保护区、水产种质资源保护区、重要湿地、江河源头区域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ZH22028110002</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吉林威虎岭省级自然保护区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3生态保护红线内</w:t>
            </w:r>
            <w:r>
              <w:rPr>
                <w:rFonts w:ascii="Times New Roman" w:hAnsi="Times New Roman" w:eastAsia="仿宋" w:cs="Times New Roman"/>
                <w:kern w:val="0"/>
                <w:sz w:val="20"/>
                <w:szCs w:val="20"/>
              </w:rPr>
              <w:t>江河源头区域执行《水功能区监督管理办法》相关要求。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ZH22028110003</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吉林红石国家森林公园</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ZH22028110004</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吉林红叶岭国家森林公园</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ZH22028110005</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吉林白石山国家森林公园</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2生态保护红线内国家级森林公园执行《国家级自然公园管理办法（试行）》相关要求。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ZH22028110006</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吉林拉法山国家森林公园</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sz w:val="20"/>
                <w:szCs w:val="20"/>
              </w:rPr>
            </w:pPr>
            <w:r>
              <w:rPr>
                <w:rFonts w:ascii="Times New Roman" w:hAnsi="Times New Roman" w:eastAsia="仿宋" w:cs="Times New Roman"/>
                <w:sz w:val="20"/>
                <w:szCs w:val="20"/>
              </w:rPr>
              <w:t>2生态保护红线内国家级森林公园执行《国家级自然公园管理办法（试行）》相关要求。</w:t>
            </w:r>
          </w:p>
          <w:p>
            <w:pPr>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p>
            <w:pPr>
              <w:rPr>
                <w:rFonts w:ascii="Times New Roman" w:hAnsi="Times New Roman" w:eastAsia="仿宋" w:cs="Times New Roman"/>
                <w:sz w:val="20"/>
                <w:szCs w:val="20"/>
              </w:rPr>
            </w:pPr>
            <w:r>
              <w:rPr>
                <w:rFonts w:ascii="Times New Roman" w:hAnsi="Times New Roman" w:eastAsia="仿宋" w:cs="Times New Roman"/>
                <w:sz w:val="20"/>
                <w:szCs w:val="20"/>
              </w:rPr>
              <w:t>4生态保护红线内江河源头区域执行《水功能区监督管理办法》相关要求。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森林公园、水产种质资源保护区、江河源头区域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ZH22028110007</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吉林松花湖国家级风景名胜区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05"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2风景名胜区执行《风景名胜区条例》相关要求。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4江河源头区域执行《水功能区监督管理办法》相关要求。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一般生态空间、大气环境优先保护区、水环境优先保护区、农用地优先保护区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风景名胜区、水产种质资源保护区、江河源头区域、黑土地保护区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ZH22028110008</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蛟河市生活饮用水水源保护区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ZH22028110009</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蛟河市团山子水库生活饮用水水源保护区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ZH22028110010</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吉林松花湖特有鱼类国家级水产种质资源保护区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3禁止在松花湖水域围湖造田、禁止侵占滩涂地（水淹地）、禁止任何单位和个人擅自从事捕捞活动。</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结合《关于进一步优化松花湖渔业资源环境的通告》提出。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ZH22028110011</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蛟河市国家级公益林</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ZH22028110012</w:t>
            </w:r>
          </w:p>
        </w:tc>
        <w:tc>
          <w:tcPr>
            <w:tcW w:w="55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松花江水功能区一级区保护区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1江河源头区域执行《水功能区监督管理办法》相关要求。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r>
              <w:rPr>
                <w:rFonts w:hint="eastAsia"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ZH22028110013</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蛟河水功能区一级区保护区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ZH22028110014</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蛟河市黑土地保护区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ZH22028110015</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蛟河市水源涵养功能重要区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2</w:t>
            </w:r>
            <w:r>
              <w:rPr>
                <w:rFonts w:ascii="Times New Roman" w:hAnsi="Times New Roman" w:eastAsia="仿宋" w:cs="Times New Roman"/>
                <w:kern w:val="0"/>
                <w:sz w:val="20"/>
                <w:szCs w:val="20"/>
              </w:rPr>
              <w:t>禁止各种损害生态系统水源涵养功能的经济社会活动和生产方式，如无序采矿、毁林开荒、湿地和草地开垦、过度放牧等。</w:t>
            </w:r>
          </w:p>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禁止导致水体污染的产业发展。</w:t>
            </w:r>
          </w:p>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4</w:t>
            </w:r>
            <w:r>
              <w:rPr>
                <w:rFonts w:ascii="Times New Roman" w:hAnsi="Times New Roman" w:eastAsia="仿宋" w:cs="Times New Roman"/>
                <w:kern w:val="0"/>
                <w:sz w:val="20"/>
                <w:szCs w:val="20"/>
              </w:rPr>
              <w:t>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8江河源头区域执行《水功能区监督管理办法》相关要求。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 xml:space="preserve">9黑土地保护区执行《吉林省黑土地保护条例》相关要求。开展坡耕地整治和侵蚀沟治理，防治水土流失；实施秸秆还田、增施有机肥、土壤酸化治理等农艺措施，修复农田生态。 </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ZH22028110016</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蛟河市松花江生物多样性维护功能生态保护红线</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05"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ZH22028110017</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蛟河市水土保持功能生态保护红线</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05"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2生态保护红线内风景名胜区执行《风景名胜区条例》相关要求。</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4</w:t>
            </w:r>
            <w:r>
              <w:rPr>
                <w:rFonts w:ascii="Times New Roman" w:hAnsi="Times New Roman" w:eastAsia="仿宋" w:cs="Times New Roman"/>
                <w:kern w:val="0"/>
                <w:sz w:val="20"/>
                <w:szCs w:val="20"/>
              </w:rPr>
              <w:t>生态保护红线内江河源头区域执行《水功能区监督管理办法》相关要求。</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水土保持、风景名胜区</w:t>
            </w:r>
            <w:r>
              <w:rPr>
                <w:rFonts w:hint="eastAsia" w:ascii="Times New Roman" w:hAnsi="Times New Roman" w:eastAsia="仿宋" w:cs="Times New Roman"/>
                <w:sz w:val="20"/>
                <w:szCs w:val="20"/>
              </w:rPr>
              <w:t>、</w:t>
            </w:r>
            <w:r>
              <w:rPr>
                <w:rFonts w:ascii="Times New Roman" w:hAnsi="Times New Roman" w:eastAsia="仿宋" w:cs="Times New Roman"/>
                <w:sz w:val="20"/>
                <w:szCs w:val="20"/>
              </w:rPr>
              <w:t>水产种质资源保护区、江河源头区域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ZH22028110018</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蛟河市水土保持功能重要区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ZH22028110019</w:t>
            </w:r>
          </w:p>
        </w:tc>
        <w:tc>
          <w:tcPr>
            <w:tcW w:w="55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蛟河市水土流失敏感区</w:t>
            </w:r>
          </w:p>
        </w:tc>
        <w:tc>
          <w:tcPr>
            <w:tcW w:w="383"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ZH22028120001</w:t>
            </w:r>
          </w:p>
        </w:tc>
        <w:tc>
          <w:tcPr>
            <w:tcW w:w="559"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吉林蛟河经济开发区</w:t>
            </w:r>
          </w:p>
        </w:tc>
        <w:tc>
          <w:tcPr>
            <w:tcW w:w="38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44"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大气环境高排放重点管控区、水环境工业污染重点管控区、吉林天岗饰面用石材重点矿区</w:t>
            </w:r>
          </w:p>
          <w:p>
            <w:pPr>
              <w:rPr>
                <w:rFonts w:ascii="Times New Roman" w:hAnsi="Times New Roman" w:eastAsia="仿宋" w:cs="Times New Roman"/>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医药健康、装备制造、新能源、新材料、</w:t>
            </w:r>
            <w:r>
              <w:rPr>
                <w:rFonts w:ascii="Times New Roman" w:hAnsi="Times New Roman" w:eastAsia="仿宋" w:cs="Times New Roman"/>
                <w:sz w:val="20"/>
                <w:szCs w:val="20"/>
              </w:rPr>
              <w:t>石材产业</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4"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ZH22028120002</w:t>
            </w:r>
          </w:p>
        </w:tc>
        <w:tc>
          <w:tcPr>
            <w:tcW w:w="55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蛟河市城镇开发边界</w:t>
            </w:r>
          </w:p>
        </w:tc>
        <w:tc>
          <w:tcPr>
            <w:tcW w:w="38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44"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大气环境受体敏感重点管控区、水环境城镇生活污染重点管控区、建设用地污染风险重点管控区、吉林天岗饰面用石材重点矿区</w:t>
            </w:r>
          </w:p>
          <w:p>
            <w:pPr>
              <w:rPr>
                <w:rFonts w:ascii="Times New Roman" w:hAnsi="Times New Roman" w:eastAsia="仿宋" w:cs="Times New Roman"/>
                <w:b/>
                <w:bCs/>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连通大东北，辐射东北亚五国的加工基地和物流集散地的理想城市，素有“长白山立体资源宝库”之称，是全国七大花岗石主产区之一。</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ZH22028120003</w:t>
            </w:r>
          </w:p>
        </w:tc>
        <w:tc>
          <w:tcPr>
            <w:tcW w:w="55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蛟河市大气环境高排放重点管控区</w:t>
            </w:r>
          </w:p>
        </w:tc>
        <w:tc>
          <w:tcPr>
            <w:tcW w:w="38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4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ZH22028120004</w:t>
            </w:r>
          </w:p>
        </w:tc>
        <w:tc>
          <w:tcPr>
            <w:tcW w:w="55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蛟河市大气环境弱扩散重点管控区</w:t>
            </w:r>
          </w:p>
        </w:tc>
        <w:tc>
          <w:tcPr>
            <w:tcW w:w="38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4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大气环境弱扩散重点管控区、建设用地污染风险重点管控区、吉林天岗饰面用石材重点矿区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25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ZH22028120005</w:t>
            </w:r>
          </w:p>
        </w:tc>
        <w:tc>
          <w:tcPr>
            <w:tcW w:w="55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蛟河市建设用地污染风险重点管控区</w:t>
            </w:r>
          </w:p>
        </w:tc>
        <w:tc>
          <w:tcPr>
            <w:tcW w:w="383"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44"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widowControl/>
              <w:jc w:val="left"/>
              <w:rPr>
                <w:rFonts w:ascii="Times New Roman" w:hAnsi="Times New Roman" w:eastAsia="仿宋" w:cs="Times New Roman"/>
                <w:sz w:val="20"/>
                <w:szCs w:val="20"/>
              </w:rPr>
            </w:pPr>
          </w:p>
        </w:tc>
        <w:tc>
          <w:tcPr>
            <w:tcW w:w="559" w:type="pct"/>
            <w:vMerge w:val="continue"/>
            <w:shd w:val="clear" w:color="auto" w:fill="auto"/>
            <w:vAlign w:val="center"/>
          </w:tcPr>
          <w:p>
            <w:pPr>
              <w:widowControl/>
              <w:jc w:val="left"/>
              <w:rPr>
                <w:rFonts w:ascii="Times New Roman" w:hAnsi="Times New Roman" w:eastAsia="仿宋" w:cs="Times New Roman"/>
                <w:sz w:val="20"/>
                <w:szCs w:val="20"/>
              </w:rPr>
            </w:pPr>
          </w:p>
        </w:tc>
        <w:tc>
          <w:tcPr>
            <w:tcW w:w="383"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4"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ZH22028120006</w:t>
            </w:r>
          </w:p>
        </w:tc>
        <w:tc>
          <w:tcPr>
            <w:tcW w:w="55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吉林天岗饰面用石材重点矿区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吉林天岗饰面用石材重点矿区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4"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ZH22028130001</w:t>
            </w:r>
          </w:p>
        </w:tc>
        <w:tc>
          <w:tcPr>
            <w:tcW w:w="559"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蛟河市一般管控区</w:t>
            </w:r>
          </w:p>
        </w:tc>
        <w:tc>
          <w:tcPr>
            <w:tcW w:w="383"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4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44"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84" w:name="_Toc27573215"/>
      <w:bookmarkStart w:id="85" w:name="_Toc18046"/>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八</w:t>
      </w:r>
      <w:r>
        <w:rPr>
          <w:rFonts w:ascii="Times New Roman" w:hAnsi="Times New Roman" w:eastAsia="仿宋" w:cs="Times New Roman"/>
          <w:b/>
          <w:bCs/>
          <w:sz w:val="32"/>
          <w:szCs w:val="32"/>
        </w:rPr>
        <w:t>） 吉林市桦甸市</w:t>
      </w:r>
      <w:bookmarkEnd w:id="84"/>
      <w:r>
        <w:rPr>
          <w:rFonts w:ascii="Times New Roman" w:hAnsi="Times New Roman" w:eastAsia="仿宋" w:cs="Times New Roman"/>
          <w:b/>
          <w:bCs/>
          <w:sz w:val="32"/>
          <w:szCs w:val="32"/>
        </w:rPr>
        <w:t>生态环境准入清单</w:t>
      </w:r>
      <w:bookmarkEnd w:id="85"/>
    </w:p>
    <w:p>
      <w:pPr>
        <w:jc w:val="center"/>
        <w:rPr>
          <w:rFonts w:ascii="Times New Roman" w:hAnsi="Times New Roman" w:eastAsia="仿宋" w:cs="Times New Roman"/>
          <w:b/>
        </w:rPr>
      </w:pPr>
      <w:bookmarkStart w:id="86" w:name="_Toc27573216"/>
      <w:r>
        <w:rPr>
          <w:rFonts w:ascii="Times New Roman" w:hAnsi="Times New Roman" w:eastAsia="仿宋" w:cs="Times New Roman"/>
          <w:b/>
        </w:rPr>
        <w:t>表4-20-1吉林市桦甸市区域特征研判</w:t>
      </w:r>
      <w:bookmarkEnd w:id="86"/>
    </w:p>
    <w:tbl>
      <w:tblPr>
        <w:tblStyle w:val="2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617" w:type="pct"/>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1168" w:type="pct"/>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1.《吉林省主体功能区规划》中的国家级农产品主产区。</w:t>
            </w:r>
          </w:p>
          <w:p>
            <w:pPr>
              <w:rPr>
                <w:rFonts w:ascii="Times New Roman" w:hAnsi="Times New Roman" w:eastAsia="仿宋" w:cs="Times New Roman"/>
                <w:kern w:val="0"/>
              </w:rPr>
            </w:pPr>
            <w:r>
              <w:rPr>
                <w:rFonts w:ascii="Times New Roman" w:hAnsi="Times New Roman" w:eastAsia="仿宋" w:cs="Times New Roman"/>
                <w:kern w:val="0"/>
              </w:rPr>
              <w:t>2.隶属于吉林省吉林市，位于吉林市东南部，总面积6520.75平方千米。辖5个街道、6个镇、3个乡、1个省级经济开发区。</w:t>
            </w:r>
          </w:p>
          <w:p>
            <w:pPr>
              <w:rPr>
                <w:rFonts w:ascii="Times New Roman" w:hAnsi="Times New Roman" w:eastAsia="仿宋" w:cs="Times New Roman"/>
                <w:kern w:val="0"/>
              </w:rPr>
            </w:pPr>
          </w:p>
          <w:p>
            <w:pPr>
              <w:rPr>
                <w:rFonts w:ascii="Times New Roman" w:hAnsi="Times New Roman" w:eastAsia="仿宋" w:cs="Times New Roman"/>
                <w:kern w:val="0"/>
              </w:rPr>
            </w:pPr>
          </w:p>
        </w:tc>
        <w:tc>
          <w:tcPr>
            <w:tcW w:w="1617" w:type="pct"/>
            <w:vAlign w:val="center"/>
          </w:tcPr>
          <w:p>
            <w:pPr>
              <w:rPr>
                <w:rFonts w:ascii="Times New Roman" w:hAnsi="Times New Roman" w:eastAsia="仿宋" w:cs="Times New Roman"/>
                <w:kern w:val="0"/>
              </w:rPr>
            </w:pPr>
            <w:r>
              <w:rPr>
                <w:rFonts w:ascii="Times New Roman" w:hAnsi="Times New Roman" w:eastAsia="仿宋" w:cs="Times New Roman"/>
                <w:bCs/>
                <w:kern w:val="0"/>
              </w:rPr>
              <w:t>坚定“生态旅游胜地、健康产业新城、新型能源强市、绿色矿业基地”的战略定位，立足资源优势和产业基础，繁荣发展以旅游业为重点的现代服务业，推进食品医药、新能源、新材料3个新兴产业快速发展，转型升级矿产加工和机械制造2个传统产业，融合发展现代农业，着力构建“1321”现代产业体系，不断增强县域经济实力，力争实现经济发展迈上新台阶、结构调整实现新突破、改革创新增添新活力、城乡建设呈现新面貌、生态保护取得新成果、民生保障满足新期盼，为到2035年基本实现社会主义现代化开好局、起好步，奠定坚实的基础。</w:t>
            </w:r>
          </w:p>
        </w:tc>
        <w:tc>
          <w:tcPr>
            <w:tcW w:w="1168" w:type="pct"/>
            <w:vAlign w:val="center"/>
          </w:tcPr>
          <w:p>
            <w:pPr>
              <w:rPr>
                <w:rFonts w:ascii="Times New Roman" w:hAnsi="Times New Roman" w:eastAsia="仿宋" w:cs="Times New Roman"/>
                <w:bCs/>
                <w:kern w:val="0"/>
              </w:rPr>
            </w:pPr>
            <w:r>
              <w:rPr>
                <w:rFonts w:ascii="Times New Roman" w:hAnsi="Times New Roman" w:eastAsia="仿宋" w:cs="Times New Roman"/>
                <w:bCs/>
                <w:kern w:val="0"/>
              </w:rPr>
              <w:t>农用地污染。</w:t>
            </w:r>
          </w:p>
        </w:tc>
        <w:tc>
          <w:tcPr>
            <w:tcW w:w="1089" w:type="pct"/>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w:t>
            </w:r>
          </w:p>
          <w:p>
            <w:pPr>
              <w:rPr>
                <w:rFonts w:ascii="Times New Roman" w:hAnsi="Times New Roman" w:eastAsia="仿宋" w:cs="Times New Roman"/>
                <w:bCs/>
                <w:kern w:val="0"/>
              </w:rPr>
            </w:pPr>
            <w:r>
              <w:rPr>
                <w:rFonts w:ascii="Times New Roman" w:hAnsi="Times New Roman" w:eastAsia="仿宋" w:cs="Times New Roman"/>
                <w:bCs/>
                <w:kern w:val="0"/>
              </w:rPr>
              <w:t>松花江三湖国家级保护区、国家级公益林、万两河水利枢纽饮用水水源地、关门砬子水库水源地、肇大鸡山国家森林公园、吉林红石国家森林公园、吉林桦甸白桦省级森林公园、桦甸常山省级森林公园</w:t>
            </w:r>
            <w:r>
              <w:rPr>
                <w:rFonts w:hint="eastAsia" w:ascii="Times New Roman" w:hAnsi="Times New Roman" w:eastAsia="仿宋" w:cs="Times New Roman"/>
                <w:bCs/>
                <w:kern w:val="0"/>
              </w:rPr>
              <w:t>、</w:t>
            </w:r>
            <w:r>
              <w:rPr>
                <w:rFonts w:ascii="Times New Roman" w:hAnsi="Times New Roman" w:eastAsia="仿宋" w:cs="Times New Roman"/>
                <w:bCs/>
                <w:kern w:val="0"/>
              </w:rPr>
              <w:t>吉林松花湖特有鱼类国家级水产种质资源保护区、黑土地资源。</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（1）改善区域水环境。</w:t>
            </w:r>
          </w:p>
          <w:p>
            <w:pPr>
              <w:rPr>
                <w:rFonts w:ascii="Times New Roman" w:hAnsi="Times New Roman" w:eastAsia="仿宋" w:cs="Times New Roman"/>
                <w:bCs/>
                <w:kern w:val="0"/>
              </w:rPr>
            </w:pPr>
            <w:r>
              <w:rPr>
                <w:rFonts w:ascii="Times New Roman" w:hAnsi="Times New Roman" w:eastAsia="仿宋" w:cs="Times New Roman"/>
                <w:bCs/>
                <w:kern w:val="0"/>
              </w:rPr>
              <w:t>（2）防控农用地污染风险。</w:t>
            </w:r>
          </w:p>
          <w:p>
            <w:pPr>
              <w:rPr>
                <w:rFonts w:ascii="Times New Roman" w:hAnsi="Times New Roman" w:eastAsia="仿宋" w:cs="Times New Roman"/>
                <w:bCs/>
                <w:kern w:val="0"/>
              </w:rPr>
            </w:pPr>
            <w:r>
              <w:rPr>
                <w:rFonts w:ascii="Times New Roman" w:hAnsi="Times New Roman" w:eastAsia="仿宋" w:cs="Times New Roman"/>
                <w:bCs/>
                <w:kern w:val="0"/>
              </w:rPr>
              <w:t>（3）确保人类开发活动不挤占耕地。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87" w:name="_Toc27573217"/>
      <w:r>
        <w:rPr>
          <w:rFonts w:ascii="Times New Roman" w:hAnsi="Times New Roman" w:eastAsia="仿宋" w:cs="Times New Roman"/>
          <w:b/>
        </w:rPr>
        <w:t>表4-20-2吉林市桦甸市生态环境准入清单</w:t>
      </w:r>
      <w:bookmarkEnd w:id="87"/>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07"/>
        <w:gridCol w:w="2166"/>
        <w:gridCol w:w="1688"/>
        <w:gridCol w:w="1705"/>
        <w:gridCol w:w="9751"/>
        <w:gridCol w:w="39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9"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0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28"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ZH22028210001</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吉林松花江三湖国家级自然保护区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4生态保护红线内重要湿地执行《中华人民共和国湿地保护法》《湿地保护管理规定》《吉林省湿地保护条例》《关于特别是作为水禽栖息地的国际重要湿地公约》相关要求。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5生态保护红线内江河源头区域执行《水功能区监督管理办法》相关要求。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自然保护区、水产种质资源保护区、重要湿地、江河源头区域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ZH22028210002</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吉林肇大鸡山国家森林公园</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2生态保护红线内国家级森林公园执行《国家级自然公园管理办法（试行）》相关要求。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ZH22028210003</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吉林红石国家森林公园</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2生态保护红线内国家级森林公园执行《国家级自然公园管理办法（试行）》相关要求。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3生态保护红线内江河源头区域执行《水功能区监督管理办法》相关要求。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ZH22028210004</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吉林桦甸白桦省级森林公园</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ZH22028210005</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吉林桦甸白桦省级森林公园</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原则上按限制开发区域的要求进行管理。避免开发建设活动损害生态服务功能和生态产品质量。</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ZH22028210006</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桦甸常山省级森林公园</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ZH22028210007</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桦甸市万两河水利枢纽饮用水水源保护区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3黑土地保护区执行《吉林省黑土地保护条例》相关要求。开展坡耕地整治和侵蚀沟治理，防治水土流失；实施秸秆还田、增施有机肥、土壤酸化治理等农艺措施，修复农田生态。</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ZH22028210008</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关门砬子水库生活饮用水水源保护区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 xml:space="preserve">3黑土地保护区执行《吉林省黑土地保护条例》相关要求。开展坡耕地整治和侵蚀沟治理，防治水土流失；实施秸秆还田、增施有机肥、土壤酸化治理等农艺措施，修复农田生态。 </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ZH22028210009</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吉林松花湖特有鱼类国家级水产种质资源保护区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3禁止在松花湖水域围湖造田、禁止侵占滩涂地（水淹地）、禁止任何单位和个人擅自从事捕捞活动。</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ZH22028210010</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桦甸市国家级公益林</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ZH22028210011</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松花江水功能区一级区保护区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江河源头区域执行《水功能区监督管理办法》相关要求。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ZH22028210012</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桦甸市黑土地保护区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color w:val="FF0000"/>
                <w:kern w:val="0"/>
                <w:sz w:val="20"/>
                <w:szCs w:val="20"/>
              </w:rPr>
            </w:pPr>
            <w:r>
              <w:rPr>
                <w:rFonts w:ascii="Times New Roman" w:hAnsi="Times New Roman" w:eastAsia="仿宋" w:cs="Times New Roman"/>
                <w:bCs/>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ZH22028210013</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桦甸市松花江水源涵养与生物多样性维护功能生态保护红线</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水源涵养、生物多样性</w:t>
            </w:r>
            <w:r>
              <w:rPr>
                <w:rFonts w:hint="eastAsia" w:ascii="Times New Roman" w:hAnsi="Times New Roman" w:eastAsia="仿宋" w:cs="Times New Roman"/>
                <w:sz w:val="20"/>
                <w:szCs w:val="20"/>
              </w:rPr>
              <w:t>维护</w:t>
            </w:r>
            <w:r>
              <w:rPr>
                <w:rFonts w:ascii="Times New Roman" w:hAnsi="Times New Roman" w:eastAsia="仿宋" w:cs="Times New Roman"/>
                <w:sz w:val="20"/>
                <w:szCs w:val="20"/>
              </w:rPr>
              <w:t>、饮用水水源保护区、江河源头区域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ZH22028210014</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桦甸市水源涵养功能重要区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9黑土地保护区执行《吉林省黑土地保护条例》相关要求。开展坡耕地整治和侵蚀沟治理，防治水土流失；实施秸秆还田、增施有机肥、土壤酸化治理等农艺措施，修复农田生态。 </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水源涵养、防风固沙、生物多样性、水土保持、水土流失、土地沙化、江河源头区域、黑土地保护区</w:t>
            </w:r>
          </w:p>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ZH22028210015</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桦甸市水土保持功能重要区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ZH22028210016</w:t>
            </w:r>
          </w:p>
        </w:tc>
        <w:tc>
          <w:tcPr>
            <w:tcW w:w="51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桦甸市水土流失敏感区</w:t>
            </w:r>
          </w:p>
        </w:tc>
        <w:tc>
          <w:tcPr>
            <w:tcW w:w="399"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restar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ZH22028220001</w:t>
            </w:r>
          </w:p>
        </w:tc>
        <w:tc>
          <w:tcPr>
            <w:tcW w:w="512" w:type="pct"/>
            <w:vMerge w:val="restar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吉林桦甸经济开发区</w:t>
            </w:r>
          </w:p>
        </w:tc>
        <w:tc>
          <w:tcPr>
            <w:tcW w:w="39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28" w:type="pct"/>
            <w:vMerge w:val="restart"/>
            <w:tcBorders>
              <w:left w:val="single" w:color="auto" w:sz="4" w:space="0"/>
              <w:right w:val="single" w:color="auto" w:sz="4" w:space="0"/>
            </w:tcBorders>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大气环境高排放重点管控区、水环境工业污染重点管控区、建设用地污染风险重点管控区、桦甸油页岩矿重点矿区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医药健康绿色食品产业、科技创新型产业、新材料与加工制造产业、现代服务业</w:t>
            </w:r>
            <w:r>
              <w:rPr>
                <w:rFonts w:hint="eastAsia" w:ascii="Times New Roman" w:hAnsi="Times New Roman" w:eastAsia="仿宋" w:cs="Times New Roman"/>
                <w:sz w:val="20"/>
                <w:szCs w:val="20"/>
              </w:rPr>
              <w:t>、新能源及再生资源利用加工、钙产业加工、以及仅进行单纯混合或分装、环境风险小的复混肥料制造、水性涂料、涂料辅助材料、无机颜料、矿物颜料、液体洗涤剂、润滑油基础油及石墨烯润滑油制造等产业。</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28" w:type="pct"/>
            <w:vMerge w:val="continue"/>
            <w:tcBorders>
              <w:left w:val="single" w:color="auto" w:sz="4" w:space="0"/>
              <w:right w:val="single" w:color="auto" w:sz="4" w:space="0"/>
            </w:tcBorders>
            <w:vAlign w:val="center"/>
          </w:tcPr>
          <w:p>
            <w:pPr>
              <w:widowControl/>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28" w:type="pct"/>
            <w:vMerge w:val="continue"/>
            <w:tcBorders>
              <w:left w:val="single" w:color="auto" w:sz="4" w:space="0"/>
              <w:right w:val="single" w:color="auto" w:sz="4" w:space="0"/>
            </w:tcBorders>
            <w:vAlign w:val="center"/>
          </w:tcPr>
          <w:p>
            <w:pPr>
              <w:widowControl/>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restar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ZH22028220002</w:t>
            </w:r>
          </w:p>
        </w:tc>
        <w:tc>
          <w:tcPr>
            <w:tcW w:w="512" w:type="pct"/>
            <w:vMerge w:val="restar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桦甸市城镇开发边界</w:t>
            </w:r>
          </w:p>
        </w:tc>
        <w:tc>
          <w:tcPr>
            <w:tcW w:w="39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28"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大气环境受体敏感重点管控区、水环境城镇生活污染重点管控区、建设用地污染风险重点管控区、桦甸夹皮沟金矿重点矿区、桦甸油页岩矿重点矿区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新型能源强市、健康产业基地、生态旅游新城</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ZH22028220003</w:t>
            </w:r>
          </w:p>
        </w:tc>
        <w:tc>
          <w:tcPr>
            <w:tcW w:w="512"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桦甸市大气环境弱扩散重点管控区</w:t>
            </w:r>
          </w:p>
        </w:tc>
        <w:tc>
          <w:tcPr>
            <w:tcW w:w="39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8" w:type="pct"/>
            <w:vMerge w:val="restart"/>
            <w:tcBorders>
              <w:left w:val="single" w:color="auto" w:sz="4" w:space="0"/>
              <w:right w:val="single" w:color="auto" w:sz="4" w:space="0"/>
            </w:tcBorders>
            <w:vAlign w:val="center"/>
          </w:tcPr>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大气环境弱扩散重点管控区、建设用地污染风险重点管控区、桦甸老牛沟铁矿重点矿区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《中共吉林省委 吉林省人民政府关于深入打好污染防治攻坚战的实施意见》《吉林省矿产资源总体规划（2021-2025年）》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ZH22028220004</w:t>
            </w:r>
          </w:p>
        </w:tc>
        <w:tc>
          <w:tcPr>
            <w:tcW w:w="51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桦甸市建设用地污染风险重点管控区</w:t>
            </w:r>
          </w:p>
        </w:tc>
        <w:tc>
          <w:tcPr>
            <w:tcW w:w="39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8"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建设用地污染风险重点管控区、桦甸油页岩矿重点矿区、桦甸夹皮沟金矿重点矿区、桦甸老牛沟铁矿重点矿区</w:t>
            </w:r>
          </w:p>
          <w:p>
            <w:pPr>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vMerge w:val="continue"/>
            <w:shd w:val="clear" w:color="auto" w:fill="auto"/>
            <w:vAlign w:val="center"/>
          </w:tcPr>
          <w:p>
            <w:pPr>
              <w:widowControl/>
              <w:jc w:val="left"/>
              <w:rPr>
                <w:rFonts w:ascii="Times New Roman" w:hAnsi="Times New Roman" w:eastAsia="仿宋" w:cs="Times New Roman"/>
                <w:sz w:val="20"/>
                <w:szCs w:val="20"/>
              </w:rPr>
            </w:pPr>
          </w:p>
        </w:tc>
        <w:tc>
          <w:tcPr>
            <w:tcW w:w="512" w:type="pct"/>
            <w:vMerge w:val="continue"/>
            <w:shd w:val="clear" w:color="auto" w:fill="auto"/>
            <w:vAlign w:val="center"/>
          </w:tcPr>
          <w:p>
            <w:pPr>
              <w:widowControl/>
              <w:jc w:val="left"/>
              <w:rPr>
                <w:rFonts w:ascii="Times New Roman" w:hAnsi="Times New Roman" w:eastAsia="仿宋" w:cs="Times New Roman"/>
                <w:sz w:val="20"/>
                <w:szCs w:val="20"/>
              </w:rPr>
            </w:pPr>
          </w:p>
        </w:tc>
        <w:tc>
          <w:tcPr>
            <w:tcW w:w="39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0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8"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ZH22028220005</w:t>
            </w:r>
          </w:p>
        </w:tc>
        <w:tc>
          <w:tcPr>
            <w:tcW w:w="512"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桦甸夹皮沟金矿重点矿区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桦甸夹皮沟金矿重点矿区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ZH22028220006</w:t>
            </w:r>
          </w:p>
        </w:tc>
        <w:tc>
          <w:tcPr>
            <w:tcW w:w="512"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桦甸老牛沟铁矿重点矿区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要素分区：</w:t>
            </w:r>
            <w:r>
              <w:rPr>
                <w:rFonts w:ascii="Times New Roman" w:hAnsi="Times New Roman" w:eastAsia="仿宋" w:cs="Times New Roman"/>
                <w:sz w:val="20"/>
                <w:szCs w:val="20"/>
              </w:rPr>
              <w:t>桦甸老牛沟铁矿重点矿区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ZH22028220007</w:t>
            </w:r>
          </w:p>
        </w:tc>
        <w:tc>
          <w:tcPr>
            <w:tcW w:w="512"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桦甸油页岩矿重点矿区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0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桦甸油页岩矿重点矿区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1"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ZH22028230001</w:t>
            </w:r>
          </w:p>
        </w:tc>
        <w:tc>
          <w:tcPr>
            <w:tcW w:w="512"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桦甸市一般管控区</w:t>
            </w:r>
          </w:p>
        </w:tc>
        <w:tc>
          <w:tcPr>
            <w:tcW w:w="39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40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0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88" w:name="_Toc27129"/>
      <w:r>
        <w:rPr>
          <w:rFonts w:ascii="Times New Roman" w:hAnsi="Times New Roman" w:eastAsia="仿宋" w:cs="Times New Roman"/>
          <w:b/>
          <w:bCs/>
          <w:sz w:val="32"/>
          <w:szCs w:val="32"/>
        </w:rPr>
        <w:t>（十</w:t>
      </w:r>
      <w:r>
        <w:rPr>
          <w:rFonts w:hint="eastAsia" w:ascii="Times New Roman" w:hAnsi="Times New Roman" w:eastAsia="仿宋" w:cs="Times New Roman"/>
          <w:b/>
          <w:bCs/>
          <w:sz w:val="32"/>
          <w:szCs w:val="32"/>
        </w:rPr>
        <w:t>九</w:t>
      </w:r>
      <w:r>
        <w:rPr>
          <w:rFonts w:ascii="Times New Roman" w:hAnsi="Times New Roman" w:eastAsia="仿宋" w:cs="Times New Roman"/>
          <w:b/>
          <w:bCs/>
          <w:sz w:val="32"/>
          <w:szCs w:val="32"/>
        </w:rPr>
        <w:t>）吉林市舒兰市</w:t>
      </w:r>
      <w:bookmarkEnd w:id="80"/>
      <w:r>
        <w:rPr>
          <w:rFonts w:ascii="Times New Roman" w:hAnsi="Times New Roman" w:eastAsia="仿宋" w:cs="Times New Roman"/>
          <w:b/>
          <w:bCs/>
          <w:sz w:val="32"/>
          <w:szCs w:val="32"/>
        </w:rPr>
        <w:t>生态环境准入清单</w:t>
      </w:r>
      <w:bookmarkEnd w:id="88"/>
    </w:p>
    <w:p>
      <w:pPr>
        <w:jc w:val="center"/>
        <w:rPr>
          <w:rFonts w:ascii="Times New Roman" w:hAnsi="Times New Roman" w:eastAsia="仿宋" w:cs="Times New Roman"/>
          <w:b/>
        </w:rPr>
      </w:pPr>
      <w:bookmarkStart w:id="89" w:name="_Toc27573219"/>
      <w:r>
        <w:rPr>
          <w:rFonts w:ascii="Times New Roman" w:hAnsi="Times New Roman" w:eastAsia="仿宋" w:cs="Times New Roman"/>
          <w:b/>
        </w:rPr>
        <w:t>表4-17-1吉林市舒兰市区域特征研判</w:t>
      </w:r>
      <w:bookmarkEnd w:id="89"/>
    </w:p>
    <w:tbl>
      <w:tblPr>
        <w:tblStyle w:val="2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rPr>
            </w:pPr>
            <w:r>
              <w:rPr>
                <w:rFonts w:ascii="Times New Roman" w:hAnsi="Times New Roman" w:eastAsia="仿宋" w:cs="Times New Roman"/>
                <w:b/>
                <w:kern w:val="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1.《吉林省主体功能区规划》中的国家级农产品主产区。</w:t>
            </w:r>
          </w:p>
          <w:p>
            <w:pPr>
              <w:rPr>
                <w:rFonts w:ascii="Times New Roman" w:hAnsi="Times New Roman" w:eastAsia="仿宋" w:cs="Times New Roman"/>
                <w:kern w:val="0"/>
              </w:rPr>
            </w:pPr>
            <w:r>
              <w:rPr>
                <w:rFonts w:ascii="Times New Roman" w:hAnsi="Times New Roman" w:eastAsia="仿宋" w:cs="Times New Roman"/>
                <w:kern w:val="0"/>
              </w:rPr>
              <w:t>2.为吉林省辖县级市，委托吉林市代管，位于吉林省中北部，总面积4559.55平方千米。辖5个街道、10个镇、5个乡、1个省级经济开发区。</w:t>
            </w:r>
          </w:p>
          <w:p>
            <w:pPr>
              <w:rPr>
                <w:rFonts w:ascii="Times New Roman" w:hAnsi="Times New Roman" w:eastAsia="仿宋" w:cs="Times New Roman"/>
                <w:kern w:val="0"/>
              </w:rPr>
            </w:pPr>
          </w:p>
          <w:p>
            <w:pPr>
              <w:rPr>
                <w:rFonts w:ascii="Times New Roman" w:hAnsi="Times New Roman" w:eastAsia="仿宋" w:cs="Times New Roman"/>
                <w:kern w:val="0"/>
              </w:rPr>
            </w:pP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建设优势充分彰显、特色加快呈现、三产渐趋融合、生态更加秀美、民生不断提格的辨识度鲜明、幸福指数高的全国知名县城。</w:t>
            </w:r>
          </w:p>
          <w:p>
            <w:pPr>
              <w:rPr>
                <w:rFonts w:ascii="Times New Roman" w:hAnsi="Times New Roman" w:eastAsia="仿宋" w:cs="Times New Roman"/>
                <w:kern w:val="0"/>
              </w:rPr>
            </w:pPr>
            <w:r>
              <w:rPr>
                <w:rFonts w:ascii="Times New Roman" w:hAnsi="Times New Roman" w:eastAsia="仿宋" w:cs="Times New Roman"/>
                <w:bCs/>
                <w:kern w:val="0"/>
              </w:rPr>
              <w:t>坚持以创建全国农业现代化示范高地、创建全国文明城市“两个创建”为抓手，以资源优势转化为产业优势、传统农业优势转化为工业优势“两个转化”为主线，大力开展产业转型突破、城乡建设提升、发展环境改善“三大行动”，不断开创舒兰高质量发展新局面。</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hint="eastAsia" w:ascii="Times New Roman" w:hAnsi="Times New Roman" w:eastAsia="仿宋" w:cs="Times New Roman"/>
                <w:bCs/>
                <w:kern w:val="0"/>
              </w:rPr>
              <w:t>/</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rPr>
            </w:pPr>
            <w:r>
              <w:rPr>
                <w:rFonts w:ascii="Times New Roman" w:hAnsi="Times New Roman" w:eastAsia="仿宋" w:cs="Times New Roman"/>
                <w:bCs/>
                <w:kern w:val="0"/>
              </w:rPr>
              <w:t>1.重点保护</w:t>
            </w:r>
          </w:p>
          <w:p>
            <w:pPr>
              <w:rPr>
                <w:rFonts w:ascii="Times New Roman" w:hAnsi="Times New Roman" w:eastAsia="仿宋" w:cs="Times New Roman"/>
                <w:bCs/>
                <w:kern w:val="0"/>
              </w:rPr>
            </w:pPr>
            <w:r>
              <w:rPr>
                <w:rFonts w:ascii="Times New Roman" w:hAnsi="Times New Roman" w:eastAsia="仿宋" w:cs="Times New Roman"/>
                <w:bCs/>
                <w:kern w:val="0"/>
              </w:rPr>
              <w:t>舒兰市响水水库保护区、国家级公益林、细鳞河水功能区一级区保护区、沙河水库、黑土地资源、吉林鹭岛桦林湾省级森林公园、舒兰青松省级森林公园</w:t>
            </w:r>
          </w:p>
          <w:p>
            <w:pPr>
              <w:rPr>
                <w:rFonts w:ascii="Times New Roman" w:hAnsi="Times New Roman" w:eastAsia="仿宋" w:cs="Times New Roman"/>
                <w:bCs/>
                <w:kern w:val="0"/>
              </w:rPr>
            </w:pPr>
            <w:r>
              <w:rPr>
                <w:rFonts w:ascii="Times New Roman" w:hAnsi="Times New Roman" w:eastAsia="仿宋" w:cs="Times New Roman"/>
                <w:bCs/>
                <w:kern w:val="0"/>
              </w:rPr>
              <w:t>2.重点解决问题</w:t>
            </w:r>
          </w:p>
          <w:p>
            <w:pPr>
              <w:rPr>
                <w:rFonts w:ascii="Times New Roman" w:hAnsi="Times New Roman" w:eastAsia="仿宋" w:cs="Times New Roman"/>
                <w:bCs/>
                <w:kern w:val="0"/>
              </w:rPr>
            </w:pPr>
            <w:r>
              <w:rPr>
                <w:rFonts w:ascii="Times New Roman" w:hAnsi="Times New Roman" w:eastAsia="仿宋" w:cs="Times New Roman"/>
                <w:bCs/>
                <w:kern w:val="0"/>
              </w:rPr>
              <w:t>（1）确保人类开发活动不挤占耕地。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90" w:name="_Toc27573220"/>
      <w:r>
        <w:rPr>
          <w:rFonts w:ascii="Times New Roman" w:hAnsi="Times New Roman" w:eastAsia="仿宋" w:cs="Times New Roman"/>
          <w:b/>
        </w:rPr>
        <w:t>表4-17-2吉林市舒兰市生态环境准入清单</w:t>
      </w:r>
      <w:bookmarkEnd w:id="90"/>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54"/>
        <w:gridCol w:w="2153"/>
        <w:gridCol w:w="1730"/>
        <w:gridCol w:w="1629"/>
        <w:gridCol w:w="9776"/>
        <w:gridCol w:w="39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0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09"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8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1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22"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ZH22028310001</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吉林鹭岛桦林湾省级森林公园</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ZH22028310002</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舒兰青松省级森林公园</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ZH22028310003</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舒兰市沙河水库饮用水水源保护区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ZH22028310004</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舒兰市沙河水库饮用水水源保护区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3黑土地保护区执行《吉林省黑土地保护条例》相关要求。开展坡耕地整治和侵蚀沟治理，防治水土流失；实施秸秆还田、增施有机肥、土壤酸化治理等农艺措施，修复农田生态。 </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ZH22028310005</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响水水库生活饮用水水源保护区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ZH22028310006</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响水水库生活饮用水水源保护区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3黑土地保护区执行《吉林省黑土地保护条例》相关要求。开展坡耕地整治和侵蚀沟治理，防治水土流失；实施秸秆还田、增施有机肥、土壤酸化治理等农艺措施，修复农田生态。</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ZH22028310007</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舒兰市国家级公益林</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ZH22028310008</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细鳞河水功能区一级区保护区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2黑土地保护区执行《吉林省黑土地保护条例》相关要求。开展坡耕地整治和侵蚀沟治理，防治水土流失；实施秸秆还田、增施有机肥、土壤酸化治理等农艺措施，修复农田生态。 </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ZH22028310009</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舒兰市黑土地保护区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ZH22028310010</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舒兰市水源涵养功能重要区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9黑土地保护区执行《吉林省黑土地保护条例》相关要求。开展坡耕地整治和侵蚀沟治理，防治水土流失；实施秸秆还田、增施有机肥、土壤酸化治理等农艺措施，修复农田生态。 </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ZH22028310011</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舒兰市水土保持功能生态保护红线</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ZH22028310012</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舒兰市松嫩平原水土保持功能生态保护红线</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ZH22028310013</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舒兰市水土保持功能重要区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ZH22028310014</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舒兰市水土流失功能生态保护红线</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ZH22028310015</w:t>
            </w:r>
          </w:p>
        </w:tc>
        <w:tc>
          <w:tcPr>
            <w:tcW w:w="50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舒兰市水土流失敏感区</w:t>
            </w:r>
          </w:p>
        </w:tc>
        <w:tc>
          <w:tcPr>
            <w:tcW w:w="409"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2"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ZH22028320001</w:t>
            </w:r>
          </w:p>
        </w:tc>
        <w:tc>
          <w:tcPr>
            <w:tcW w:w="509"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吉林舒兰经济开发区</w:t>
            </w:r>
          </w:p>
        </w:tc>
        <w:tc>
          <w:tcPr>
            <w:tcW w:w="40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Cs/>
                <w:kern w:val="0"/>
                <w:sz w:val="20"/>
                <w:szCs w:val="20"/>
              </w:rPr>
              <w:t>空间布局约束</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严格禁止化学制药、印染等行业以及高耗水、高污染物排放、产生有毒有害污染物的排放项目入区。</w:t>
            </w:r>
          </w:p>
        </w:tc>
        <w:tc>
          <w:tcPr>
            <w:tcW w:w="922" w:type="pct"/>
            <w:vMerge w:val="restart"/>
            <w:tcBorders>
              <w:left w:val="single" w:color="auto" w:sz="4" w:space="0"/>
              <w:right w:val="single" w:color="auto" w:sz="4" w:space="0"/>
            </w:tcBorders>
            <w:vAlign w:val="center"/>
          </w:tcPr>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舒兰市资源型城市转型的重要承载主体</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装备制造产业、医药健康产业、纺织业、农副产品加工业、林特产品加工业、生物环保产业</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ZH22028320002</w:t>
            </w:r>
          </w:p>
        </w:tc>
        <w:tc>
          <w:tcPr>
            <w:tcW w:w="509"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舒兰市城市开发边界</w:t>
            </w:r>
          </w:p>
        </w:tc>
        <w:tc>
          <w:tcPr>
            <w:tcW w:w="40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2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大气环境受体敏感重点管控区、水环境城镇生活污染重点管控区、水环境质量不达标重点管控区、建设用地污染风险重点管控区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稻乡名城、钼业之都、宜居城市</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2未完成水环境质量改善目标要求的地区，暂停审批新增重点水污染物排放总量的建设项目。新建、改建、扩建重点行业建设项目应提出有效的区域削减方案，主要污染物实行区域倍量削减。</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ZH22028320003</w:t>
            </w:r>
          </w:p>
        </w:tc>
        <w:tc>
          <w:tcPr>
            <w:tcW w:w="50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舒兰市大气环境弱扩散重点管控区</w:t>
            </w:r>
          </w:p>
        </w:tc>
        <w:tc>
          <w:tcPr>
            <w:tcW w:w="40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2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大气环境弱扩散重点管控区、水环境农业污染重点管控区、建设用地污染风险重点管控区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ZH22028320004</w:t>
            </w:r>
          </w:p>
        </w:tc>
        <w:tc>
          <w:tcPr>
            <w:tcW w:w="50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舒兰市水环境农业污染重点管控区</w:t>
            </w:r>
          </w:p>
        </w:tc>
        <w:tc>
          <w:tcPr>
            <w:tcW w:w="40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2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ZH22028320005</w:t>
            </w:r>
          </w:p>
        </w:tc>
        <w:tc>
          <w:tcPr>
            <w:tcW w:w="50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舒兰市水环境质量不达标重点管控区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未完成水环境质量改善目标要求的地区，暂停审批新增重点水污染物排放总量的建设项目。新建、改建、扩建重点行业建设项目应提出有效的区域削减方案，主要污染物实行区域倍量削减。</w:t>
            </w:r>
          </w:p>
        </w:tc>
        <w:tc>
          <w:tcPr>
            <w:tcW w:w="92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水环境质量不达标重点管控区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ZH22028320006</w:t>
            </w:r>
          </w:p>
        </w:tc>
        <w:tc>
          <w:tcPr>
            <w:tcW w:w="50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舒兰市建设用地污染风险重点管控区</w:t>
            </w:r>
          </w:p>
        </w:tc>
        <w:tc>
          <w:tcPr>
            <w:tcW w:w="409"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22"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vMerge w:val="continue"/>
            <w:shd w:val="clear" w:color="auto" w:fill="auto"/>
            <w:vAlign w:val="center"/>
          </w:tcPr>
          <w:p>
            <w:pPr>
              <w:widowControl/>
              <w:jc w:val="left"/>
              <w:rPr>
                <w:rFonts w:ascii="Times New Roman" w:hAnsi="Times New Roman" w:eastAsia="仿宋" w:cs="Times New Roman"/>
                <w:sz w:val="20"/>
                <w:szCs w:val="20"/>
              </w:rPr>
            </w:pPr>
          </w:p>
        </w:tc>
        <w:tc>
          <w:tcPr>
            <w:tcW w:w="5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9"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3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1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2"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ZH22028330001</w:t>
            </w:r>
          </w:p>
        </w:tc>
        <w:tc>
          <w:tcPr>
            <w:tcW w:w="509"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舒兰市一般管控区</w:t>
            </w:r>
          </w:p>
        </w:tc>
        <w:tc>
          <w:tcPr>
            <w:tcW w:w="409"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3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11"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22"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91" w:name="_Toc27573221"/>
      <w:bookmarkStart w:id="92" w:name="_Toc7396"/>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二十</w:t>
      </w:r>
      <w:r>
        <w:rPr>
          <w:rFonts w:ascii="Times New Roman" w:hAnsi="Times New Roman" w:eastAsia="仿宋" w:cs="Times New Roman"/>
          <w:b/>
          <w:bCs/>
          <w:sz w:val="32"/>
          <w:szCs w:val="32"/>
        </w:rPr>
        <w:t>） 吉林市磐石市</w:t>
      </w:r>
      <w:bookmarkEnd w:id="91"/>
      <w:r>
        <w:rPr>
          <w:rFonts w:ascii="Times New Roman" w:hAnsi="Times New Roman" w:eastAsia="仿宋" w:cs="Times New Roman"/>
          <w:b/>
          <w:bCs/>
          <w:sz w:val="32"/>
          <w:szCs w:val="32"/>
        </w:rPr>
        <w:t>生态环境准入清单</w:t>
      </w:r>
      <w:bookmarkEnd w:id="92"/>
    </w:p>
    <w:p>
      <w:pPr>
        <w:jc w:val="center"/>
        <w:rPr>
          <w:rFonts w:ascii="Times New Roman" w:hAnsi="Times New Roman" w:eastAsia="仿宋" w:cs="Times New Roman"/>
          <w:b/>
        </w:rPr>
      </w:pPr>
      <w:bookmarkStart w:id="93" w:name="_Toc27573222"/>
      <w:r>
        <w:rPr>
          <w:rFonts w:ascii="Times New Roman" w:hAnsi="Times New Roman" w:eastAsia="仿宋" w:cs="Times New Roman"/>
          <w:b/>
        </w:rPr>
        <w:t>表4-18-1吉林市磐石市区域特征研判</w:t>
      </w:r>
      <w:bookmarkEnd w:id="93"/>
    </w:p>
    <w:tbl>
      <w:tblPr>
        <w:tblStyle w:val="2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6842"/>
        <w:gridCol w:w="3981"/>
        <w:gridCol w:w="5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发展定位与目标</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区域突出的生态环境问题</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1.《吉林省主体功能区规划》中的国家级农产品主产区。</w:t>
            </w:r>
          </w:p>
          <w:p>
            <w:pPr>
              <w:rPr>
                <w:rFonts w:ascii="Times New Roman" w:hAnsi="Times New Roman" w:eastAsia="仿宋" w:cs="Times New Roman"/>
                <w:kern w:val="0"/>
              </w:rPr>
            </w:pPr>
            <w:r>
              <w:rPr>
                <w:rFonts w:ascii="Times New Roman" w:hAnsi="Times New Roman" w:eastAsia="仿宋" w:cs="Times New Roman"/>
                <w:kern w:val="0"/>
              </w:rPr>
              <w:t>2. 吉林市辖区，位于吉林省吉林市城市南部，总面积3867.3平方千米。辖4个街道、13个镇、1个乡。</w:t>
            </w:r>
          </w:p>
          <w:p>
            <w:pPr>
              <w:rPr>
                <w:rFonts w:ascii="Times New Roman" w:hAnsi="Times New Roman" w:eastAsia="仿宋" w:cs="Times New Roman"/>
                <w:kern w:val="0"/>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精心打造主导产业特色鲜明、人口集聚能力较强、综合经济实力雄厚、区域职能作用重要的经济增长极，成为中等城市、东部地区重要的经济支点。</w:t>
            </w:r>
          </w:p>
          <w:p>
            <w:pPr>
              <w:rPr>
                <w:rFonts w:ascii="Times New Roman" w:hAnsi="Times New Roman" w:eastAsia="仿宋" w:cs="Times New Roman"/>
                <w:kern w:val="0"/>
              </w:rPr>
            </w:pPr>
            <w:r>
              <w:rPr>
                <w:rFonts w:ascii="Times New Roman" w:hAnsi="Times New Roman" w:eastAsia="仿宋" w:cs="Times New Roman"/>
                <w:kern w:val="0"/>
              </w:rPr>
              <w:t>坚持发挥基础产业转型优势、交通区位便利优势、生态资源宜居优势、革命老区传统优势、发展环境品牌优势，把我市建设成为东北地区知名新型金属材料产业基地、省内重要医药健康产业基地，为建设“经济繁荣、人民富裕、领先发展的实力磐石,开放包容、文明民主、共创共享的和谐磐石，环境优 美、功能完备、宜居宜业的生态磐石”奠定坚实基础。</w:t>
            </w:r>
          </w:p>
        </w:tc>
        <w:tc>
          <w:tcPr>
            <w:tcW w:w="94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农用地污染。</w:t>
            </w:r>
          </w:p>
        </w:tc>
        <w:tc>
          <w:tcPr>
            <w:tcW w:w="131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rPr>
            </w:pPr>
            <w:r>
              <w:rPr>
                <w:rFonts w:ascii="Times New Roman" w:hAnsi="Times New Roman" w:eastAsia="仿宋" w:cs="Times New Roman"/>
                <w:kern w:val="0"/>
              </w:rPr>
              <w:t>1.重点保护</w:t>
            </w:r>
          </w:p>
          <w:p>
            <w:pPr>
              <w:rPr>
                <w:rFonts w:ascii="Times New Roman" w:hAnsi="Times New Roman" w:eastAsia="仿宋" w:cs="Times New Roman"/>
                <w:kern w:val="0"/>
              </w:rPr>
            </w:pPr>
            <w:r>
              <w:rPr>
                <w:rFonts w:ascii="Times New Roman" w:hAnsi="Times New Roman" w:eastAsia="仿宋" w:cs="Times New Roman"/>
                <w:kern w:val="0"/>
              </w:rPr>
              <w:t>郭大院水库水源保护区、赵家街水库饮用水水源地保护区、吉林官马莲花山国家森林公园、吉林磐石红石砬子省级森林公园、磐石老鹰沟省级森林公园、磐石市集中橡胶坝生活饮用水水源保护区、黑土地资源、国家级公益林、饮马河水功能区一级区保护区、岔路河水功能区一级区保护区。</w:t>
            </w:r>
          </w:p>
          <w:p>
            <w:pPr>
              <w:rPr>
                <w:rFonts w:ascii="Times New Roman" w:hAnsi="Times New Roman" w:eastAsia="仿宋" w:cs="Times New Roman"/>
                <w:kern w:val="0"/>
              </w:rPr>
            </w:pPr>
            <w:r>
              <w:rPr>
                <w:rFonts w:ascii="Times New Roman" w:hAnsi="Times New Roman" w:eastAsia="仿宋" w:cs="Times New Roman"/>
                <w:kern w:val="0"/>
              </w:rPr>
              <w:t>2.重点解决问题</w:t>
            </w:r>
          </w:p>
          <w:p>
            <w:pPr>
              <w:rPr>
                <w:rFonts w:ascii="Times New Roman" w:hAnsi="Times New Roman" w:eastAsia="仿宋" w:cs="Times New Roman"/>
                <w:kern w:val="0"/>
              </w:rPr>
            </w:pPr>
            <w:r>
              <w:rPr>
                <w:rFonts w:ascii="Times New Roman" w:hAnsi="Times New Roman" w:eastAsia="仿宋" w:cs="Times New Roman"/>
                <w:kern w:val="0"/>
              </w:rPr>
              <w:t>（1）改善区域水环境。</w:t>
            </w:r>
          </w:p>
          <w:p>
            <w:pPr>
              <w:rPr>
                <w:rFonts w:ascii="Times New Roman" w:hAnsi="Times New Roman" w:eastAsia="仿宋" w:cs="Times New Roman"/>
                <w:kern w:val="0"/>
              </w:rPr>
            </w:pPr>
            <w:r>
              <w:rPr>
                <w:rFonts w:ascii="Times New Roman" w:hAnsi="Times New Roman" w:eastAsia="仿宋" w:cs="Times New Roman"/>
                <w:kern w:val="0"/>
              </w:rPr>
              <w:t>（2）防控农用地污染风险。</w:t>
            </w:r>
          </w:p>
          <w:p>
            <w:pPr>
              <w:rPr>
                <w:rFonts w:ascii="Times New Roman" w:hAnsi="Times New Roman" w:eastAsia="仿宋" w:cs="Times New Roman"/>
                <w:kern w:val="0"/>
              </w:rPr>
            </w:pPr>
            <w:r>
              <w:rPr>
                <w:rFonts w:ascii="Times New Roman" w:hAnsi="Times New Roman" w:eastAsia="仿宋" w:cs="Times New Roman"/>
                <w:kern w:val="0"/>
              </w:rPr>
              <w:t>（3）确保人类开发活动不挤占耕地。</w:t>
            </w:r>
          </w:p>
        </w:tc>
      </w:tr>
    </w:tbl>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rPr>
      </w:pPr>
      <w:bookmarkStart w:id="94" w:name="_Toc27573223"/>
      <w:r>
        <w:rPr>
          <w:rFonts w:ascii="Times New Roman" w:hAnsi="Times New Roman" w:eastAsia="仿宋" w:cs="Times New Roman"/>
          <w:b/>
        </w:rPr>
        <w:t>表4-18-2吉林市磐石市生态环境准入清单</w:t>
      </w:r>
      <w:bookmarkEnd w:id="94"/>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33"/>
        <w:gridCol w:w="2188"/>
        <w:gridCol w:w="1633"/>
        <w:gridCol w:w="1709"/>
        <w:gridCol w:w="9808"/>
        <w:gridCol w:w="38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7"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6"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4"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18"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15"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ZH22028410001</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吉林官马莲花山国家森林公园</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2生态保护红线内国家级森林公园执行《国家级自然公园管理办法（试行）》相关要求。</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w:t>
            </w:r>
            <w:r>
              <w:rPr>
                <w:rFonts w:ascii="Times New Roman" w:hAnsi="Times New Roman" w:eastAsia="仿宋" w:cs="Times New Roman"/>
                <w:kern w:val="0"/>
                <w:sz w:val="20"/>
                <w:szCs w:val="20"/>
              </w:rPr>
              <w:t>江河源头区域执行《水功能区监督管理办法》相关要求。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ZH22028410002</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吉林官马莲花山国家森林公园</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2国家级森林公园执行《国家级自然公园管理办法（试行）》相关要求。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ZH22028410003</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吉林磐石红石砬子省级森林公园</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ZH22028410004</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磐石老鹰沟省级森林公园</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ZH22028410005</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磐石市赵家街水库生活饮用水水源保护区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ZH22028410006</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磐石市赵家街水库生活饮用水水源保护区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3黑土地保护区执行《吉林省黑土地保护条例》相关要求。开展坡耕地整治和侵蚀沟治理，防治水土流失；实施秸秆还田、增施有机肥、土壤酸化治理等农艺措施，修复农田生态。 </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ZH22028410007</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磐石市郭大院水库生活饮用水水源保护区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 xml:space="preserve">3黑土地保护区执行《吉林省黑土地保护条例》相关要求。开展坡耕地整治和侵蚀沟治理，防治水土流失；实施秸秆还田、增施有机肥、土壤酸化治理等农艺措施，修复农田生态。 </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ZH22028410008</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磐石市集中橡胶坝生活饮用水水源保护区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 xml:space="preserve">3黑土地保护区执行《吉林省黑土地保护条例》相关要求。开展坡耕地整治和侵蚀沟治理，防治水土流失；实施秸秆还田、增施有机肥、土壤酸化治理等农艺措施，修复农田生态。 </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ZH22028410009</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磐石市国家级公益林</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2生态保护红线内国家级公益林执行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ZH22028410010</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饮马河水功能区一级区保护区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2黑土地保护区执行《吉林省黑土地保护条例》相关要求。开展坡耕地整治和侵蚀沟治理，防治水土流失；实施秸秆还田、增施有机肥、土壤酸化治理等农艺措施，修复农田生态。 </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ZH22028410011</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岔路河水功能区一级区保护区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2黑土地保护区执行《吉林省黑土地保护条例》相关要求。开展坡耕地整治和侵蚀沟治理，防治水土流失；实施秸秆还田、增施有机肥、土壤酸化治理等农艺措施，修复农田生态。 </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ZH22028410012</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磐石市黑土地保护区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黑土地保护区执行《吉林省黑土地保护条例》相关要求。开展坡耕地整治和侵蚀沟治理，防治水土流失；实施秸秆还田、增施有机肥、土壤酸化治理等农艺措施，修复农田生态。</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ZH22028410013</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磐石市水源涵养功能重要区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rPr>
                <w:rFonts w:ascii="Times New Roman" w:hAnsi="Times New Roman" w:eastAsia="仿宋" w:cs="Times New Roman"/>
                <w:sz w:val="20"/>
                <w:szCs w:val="20"/>
              </w:rPr>
            </w:pPr>
            <w:r>
              <w:rPr>
                <w:rFonts w:ascii="Times New Roman" w:hAnsi="Times New Roman" w:eastAsia="仿宋" w:cs="Times New Roman"/>
                <w:sz w:val="20"/>
                <w:szCs w:val="20"/>
              </w:rPr>
              <w:t>4禁止生物多样性维护生态功能区的大规模水电开发和林纸一体化产业发展。禁止各种损害栖息地的经济社会活动和生产方式，如无序采矿、毁林开荒、湿地和草地开垦等。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sz w:val="20"/>
                <w:szCs w:val="20"/>
              </w:rPr>
            </w:pPr>
            <w:r>
              <w:rPr>
                <w:rFonts w:ascii="Times New Roman" w:hAnsi="Times New Roman" w:eastAsia="仿宋" w:cs="Times New Roman"/>
                <w:sz w:val="20"/>
                <w:szCs w:val="20"/>
              </w:rPr>
              <w:t>5禁止在沙化土地上砍挖灌木、药材及其他固沙植物。在沙化土地封禁保护区范围内，禁止一切破坏植被的活动。禁止在沙化土地封禁保护区范围内安置移民。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8黑土地保护区执行《吉林省黑土地保护条例》相关要求。开展坡耕地整治和侵蚀沟治理，防治水土流失；实施秸秆还田、增施有机肥、土壤酸化治理等农艺措施，修复农田生态。</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9江河源头区域执行《水功能区监督管理办法》相关要求。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ZH22028410014</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磐石市生物多样性重要区</w:t>
            </w:r>
          </w:p>
        </w:tc>
        <w:tc>
          <w:tcPr>
            <w:tcW w:w="386"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ZH22028410015</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磐石市水土保持功能生态保护红线</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1原则上按禁止开发区域的要求进行管理，执行</w:t>
            </w:r>
            <w:r>
              <w:rPr>
                <w:rFonts w:hint="eastAsia" w:ascii="Times New Roman" w:hAnsi="Times New Roman" w:eastAsia="仿宋" w:cs="Times New Roman"/>
                <w:bCs/>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sz w:val="20"/>
                <w:szCs w:val="20"/>
              </w:rPr>
              <w:t>中相关要求。</w:t>
            </w:r>
          </w:p>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2生态保护红线内江河源头区域执行《水功能区监督管理办法》相关要求。</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ZH22028410016</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磐石市水土保持功能重要区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ZH22028410017</w:t>
            </w:r>
          </w:p>
        </w:tc>
        <w:tc>
          <w:tcPr>
            <w:tcW w:w="517"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磐石市水土流失敏感区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1-优先保护</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8" w:hRule="atLeast"/>
        </w:trPr>
        <w:tc>
          <w:tcPr>
            <w:tcW w:w="45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ZH22028420001</w:t>
            </w:r>
          </w:p>
        </w:tc>
        <w:tc>
          <w:tcPr>
            <w:tcW w:w="51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吉林磐石经济开发区</w:t>
            </w:r>
          </w:p>
        </w:tc>
        <w:tc>
          <w:tcPr>
            <w:tcW w:w="38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15"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大气环境高排放重点管控区、水环境工业污染重点管控区、建设用地污染风险重点管控区、磐石红旗岭镍及多金属矿重点矿区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依托磐石市丰富的地理、资源、农牧业资源及人力资源优势，打造中国东北多元化工业基地。</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主要发展以食品、机械加工、机械制造、设备制造、现代服务、医药、化工为主导的相关地方特色产业以及非金属矿物制品业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金属冶炼及金属制品业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通用及专用设备制造业，汽车零部件及配件制造，铁路运输及城市轨道交通设备制造业，汽车零部件及配件制造，铁路运输及城市轨道交通设备制造，电器机械器材、通信电子设备、仪器仪表及其他制造业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新材料和建材、有色金属矿采选、有色金属冶炼业、化学原料和化学制品制造业、电子专用材料制造；废弃资源综合利用业等有利于延长开发区产业链的产业。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基于“三线”研究成果，结合《企业事业单位突发环境事件应急预案备案管理办法（试行）》《中共吉林省委 吉林省人民政府关于深入打好污染防治攻坚战的实施意见》《吉林省减污降碳协同增效实施方案》《吉林省“十四五”节能减排综合实施方案》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9" w:hRule="atLeast"/>
        </w:trPr>
        <w:tc>
          <w:tcPr>
            <w:tcW w:w="457" w:type="pct"/>
            <w:vMerge w:val="continue"/>
            <w:shd w:val="clear" w:color="auto" w:fill="auto"/>
            <w:vAlign w:val="center"/>
          </w:tcPr>
          <w:p>
            <w:pPr>
              <w:widowControl/>
              <w:jc w:val="left"/>
              <w:rPr>
                <w:rFonts w:ascii="Times New Roman" w:hAnsi="Times New Roman" w:eastAsia="仿宋" w:cs="Times New Roman"/>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15"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12"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ZH22028420002</w:t>
            </w:r>
          </w:p>
        </w:tc>
        <w:tc>
          <w:tcPr>
            <w:tcW w:w="51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磐石市城镇开发边界</w:t>
            </w:r>
          </w:p>
        </w:tc>
        <w:tc>
          <w:tcPr>
            <w:tcW w:w="38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15"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大气环境受体敏感重点管控区、水环境城镇生活污染重点管控区、建设用地污染风险重点管控区、磐石红旗岭镍及多金属矿重点矿区</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省内重要的医药健康产业基地、东北知名的新材料产业基地和新型工业化示范城市</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1实施污水处理厂改扩建及提标改造工程，改造城区雨污管网，城市生活污水处理率达到95%，县城生活污水处理率达到85%。</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0"/>
              </w:rPr>
              <w:t>加强对餐饮服务业油烟污染监管</w:t>
            </w:r>
            <w:r>
              <w:rPr>
                <w:rFonts w:ascii="Times New Roman" w:hAnsi="Times New Roman" w:eastAsia="仿宋" w:cs="Times New Roman"/>
                <w:sz w:val="20"/>
                <w:szCs w:val="20"/>
              </w:rPr>
              <w:t>，强化对加油站、储油库、油罐车等油气回收设施运行监管。</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资源开发效率</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ZH22028420003</w:t>
            </w:r>
          </w:p>
        </w:tc>
        <w:tc>
          <w:tcPr>
            <w:tcW w:w="51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磐石市大气环境高排放重点管控区</w:t>
            </w:r>
          </w:p>
        </w:tc>
        <w:tc>
          <w:tcPr>
            <w:tcW w:w="38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钢铁、焦化、电解铝、铸造、水泥和平板玻璃等行业新增产能，列入去产能的钢铁企业退出时须一并退出配套的烧结、焦炉、高炉等设备。推进煤炭、矿石、钢材、石油、粮食、建材、焦炭等大宗货物中长途运输“公转铁”。</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5"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大气环境高排放重点管控区、建设用地污染风险重点管控区、磐石红旗岭镍及多金属矿重点矿区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基于“三线”研究成果提出，《吉林省减污降碳协同增效实施方案》《吉林省矿产资源总体规划（2021-2025年）》《吉林省生态环境保护“十四五”规划》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ZH22028420004</w:t>
            </w:r>
          </w:p>
        </w:tc>
        <w:tc>
          <w:tcPr>
            <w:tcW w:w="517" w:type="pct"/>
            <w:vMerge w:val="restar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磐石市大气环境弱扩散重点管控区</w:t>
            </w:r>
          </w:p>
        </w:tc>
        <w:tc>
          <w:tcPr>
            <w:tcW w:w="38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5"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大气环境弱扩散重点管控区、建设用地污染风险重点管控区、磐石红旗岭镍及多金属矿重点矿区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《中共吉林省委 吉林省人民政府关于深入打好污染防治攻坚战的实施意见》《吉林省矿产资源总体规划（2021-2025年）》《污染地块土壤环境管理办法（试行）》《工矿用地土壤环境管理办法（试行）》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318"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环境风险防控</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ZH22028420005</w:t>
            </w:r>
          </w:p>
        </w:tc>
        <w:tc>
          <w:tcPr>
            <w:tcW w:w="51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磐石市建设用地污染风险重点管控区</w:t>
            </w:r>
          </w:p>
        </w:tc>
        <w:tc>
          <w:tcPr>
            <w:tcW w:w="38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5"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建设用地污染风险重点管控区、磐石红旗岭镍及多金属矿重点矿区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51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8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04"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18"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ZH22028420006</w:t>
            </w:r>
          </w:p>
        </w:tc>
        <w:tc>
          <w:tcPr>
            <w:tcW w:w="51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磐石红旗岭镍及多金属矿重点矿区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磐石红旗岭镍及多金属矿重点矿区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7"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ZH22028430001</w:t>
            </w:r>
          </w:p>
        </w:tc>
        <w:tc>
          <w:tcPr>
            <w:tcW w:w="517" w:type="pct"/>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磐石市一般管控区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3-一般管控</w:t>
            </w:r>
          </w:p>
        </w:tc>
        <w:tc>
          <w:tcPr>
            <w:tcW w:w="404"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318"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实行工业项目进园、集约高效发展。</w:t>
            </w:r>
          </w:p>
        </w:tc>
        <w:tc>
          <w:tcPr>
            <w:tcW w:w="91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szCs w:val="24"/>
        </w:rPr>
      </w:pPr>
    </w:p>
    <w:bookmarkEnd w:id="81"/>
    <w:p>
      <w:pPr>
        <w:keepNext/>
        <w:keepLines/>
        <w:spacing w:before="260" w:after="260"/>
        <w:outlineLvl w:val="1"/>
        <w:rPr>
          <w:rFonts w:ascii="Times New Roman" w:hAnsi="Times New Roman" w:eastAsia="仿宋" w:cs="Times New Roman"/>
          <w:b/>
          <w:bCs/>
          <w:sz w:val="32"/>
          <w:szCs w:val="32"/>
        </w:rPr>
      </w:pPr>
      <w:bookmarkStart w:id="95" w:name="_Toc17857"/>
      <w:bookmarkStart w:id="96" w:name="_Hlk38961665"/>
      <w:r>
        <w:rPr>
          <w:rFonts w:ascii="Times New Roman" w:hAnsi="Times New Roman" w:eastAsia="仿宋" w:cs="Times New Roman"/>
          <w:b/>
          <w:bCs/>
          <w:sz w:val="32"/>
          <w:szCs w:val="32"/>
        </w:rPr>
        <w:t>（二十一）四平市铁西区生态环境准入清单</w:t>
      </w:r>
      <w:bookmarkEnd w:id="95"/>
    </w:p>
    <w:p>
      <w:pPr>
        <w:jc w:val="center"/>
        <w:rPr>
          <w:rFonts w:ascii="Times New Roman" w:hAnsi="Times New Roman" w:eastAsia="仿宋" w:cs="Times New Roman"/>
          <w:b/>
          <w:sz w:val="24"/>
          <w:szCs w:val="24"/>
        </w:rPr>
      </w:pPr>
      <w:r>
        <w:rPr>
          <w:rFonts w:ascii="Times New Roman" w:hAnsi="Times New Roman" w:eastAsia="仿宋" w:cs="Times New Roman"/>
          <w:b/>
        </w:rPr>
        <w:t>表4-21-1 四平市铁西区区域特征研判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7995"/>
        <w:gridCol w:w="3790"/>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8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8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1.《吉林省主体功能区规划》中的重点开发区域。</w:t>
            </w:r>
          </w:p>
          <w:p>
            <w:pPr>
              <w:jc w:val="left"/>
              <w:rPr>
                <w:rFonts w:ascii="Times New Roman" w:hAnsi="Times New Roman" w:eastAsia="仿宋" w:cs="Times New Roman"/>
                <w:kern w:val="0"/>
                <w:szCs w:val="21"/>
              </w:rPr>
            </w:pPr>
            <w:r>
              <w:rPr>
                <w:rFonts w:ascii="Times New Roman" w:hAnsi="Times New Roman" w:eastAsia="仿宋" w:cs="Times New Roman"/>
                <w:kern w:val="0"/>
                <w:szCs w:val="21"/>
              </w:rPr>
              <w:t>2.铁西区是四平市主城区，总面积727平方公里。辖5个街道1个乡3个镇（3镇梨树县代管）。</w:t>
            </w:r>
          </w:p>
        </w:tc>
        <w:tc>
          <w:tcPr>
            <w:tcW w:w="1890"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bCs/>
                <w:kern w:val="0"/>
                <w:szCs w:val="21"/>
              </w:rPr>
            </w:pPr>
            <w:r>
              <w:rPr>
                <w:rFonts w:ascii="Times New Roman" w:hAnsi="Times New Roman" w:eastAsia="仿宋" w:cs="Times New Roman"/>
                <w:bCs/>
                <w:kern w:val="0"/>
                <w:szCs w:val="21"/>
              </w:rPr>
              <w:t>把握打造四平中心城区西部增长极；党建总揽、项目立区、补齐短板；工业集群化、商贸高端化、农业精优化、城乡一体化、旅游全域化这个“一三五”基本思路。纵深推进三产富区、工业强区、开放活区、生态宜区、同城兴区，加快建设创业铁西、法治铁西、绿色铁西、文明铁西、幸福铁西，围绕工业集群化、商贸高端化、农业精优化、城乡一体化、旅游全域化五个主攻方向，全面落实“52111”（“5”就是打造冶金、建材、农机、换热器、纺织轻工“五个产业集群区”；“2”就是建设东北成品油交易市场、综合建材市场“两个区域市场”；三个“1”即“一镇、一街、一中心”，分别是建设农机特色产业小镇项目、仁兴商业步行街升级项目、宝泰购物中心二期项目）产业振兴工程，全方位建成农业现代化先导区、先进装备制造业集聚区、四平市中央商务中心区。重点发展农机和换热器等特色装备、冶金建材、商贸物流产业。依托红嘴经济技术开发区和四平循环经济示范区，建设国家先进装备制造产业示范基地、国家级换热器产业发展基地、中国北方农机产业创新示范基地、科技信息孵化服务基地、循环经济示范基地，打造吉林省先进装备制造业集聚区。依托站前商圈、地直商圈、西南商圈，构建四平市中央商务中心。形成“一区、一中心”产业发展空间布局，打造四平中心城区西部增长极。</w:t>
            </w:r>
          </w:p>
        </w:tc>
        <w:tc>
          <w:tcPr>
            <w:tcW w:w="896"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bCs/>
                <w:kern w:val="0"/>
                <w:szCs w:val="21"/>
              </w:rPr>
            </w:pPr>
            <w:r>
              <w:rPr>
                <w:rFonts w:ascii="Times New Roman" w:hAnsi="Times New Roman" w:eastAsia="仿宋" w:cs="Times New Roman"/>
                <w:bCs/>
                <w:kern w:val="0"/>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p>
          <w:p>
            <w:pPr>
              <w:jc w:val="left"/>
              <w:rPr>
                <w:rFonts w:ascii="Times New Roman" w:hAnsi="Times New Roman" w:eastAsia="仿宋" w:cs="Times New Roman"/>
                <w:bCs/>
                <w:kern w:val="0"/>
                <w:szCs w:val="21"/>
              </w:rPr>
            </w:pPr>
            <w:r>
              <w:rPr>
                <w:rFonts w:ascii="Times New Roman" w:hAnsi="Times New Roman" w:eastAsia="仿宋" w:cs="Times New Roman"/>
                <w:bCs/>
                <w:kern w:val="0"/>
                <w:szCs w:val="21"/>
              </w:rPr>
              <w:t>人居安全、吉林大架山省级森林公园、国家级公益林、黑土地资源等。</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表4-21-2  四平市铁西区生态环境准入清单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67"/>
        <w:gridCol w:w="2547"/>
        <w:gridCol w:w="1582"/>
        <w:gridCol w:w="1785"/>
        <w:gridCol w:w="9243"/>
        <w:gridCol w:w="40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widowControl/>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bCs/>
                <w:kern w:val="0"/>
                <w:sz w:val="20"/>
                <w:szCs w:val="20"/>
              </w:rPr>
              <w:t>管控要求</w:t>
            </w:r>
          </w:p>
        </w:tc>
        <w:tc>
          <w:tcPr>
            <w:tcW w:w="950" w:type="pct"/>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仿宋" w:cs="Times New Roman"/>
                <w:b/>
                <w:bCs/>
                <w:kern w:val="0"/>
                <w:sz w:val="20"/>
                <w:szCs w:val="20"/>
              </w:rPr>
            </w:pPr>
            <w:r>
              <w:rPr>
                <w:rFonts w:ascii="Times New Roman" w:hAnsi="Times New Roman" w:eastAsia="仿宋" w:cs="Times New Roman"/>
                <w:b/>
                <w:bCs/>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ZH22030210001</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吉林大架山省级森林公园</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ZH22030210002</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铁西区国家级公益林</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ZH22030210003</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铁西区防风固沙功能重要区</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防风固沙、土地沙化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ZH22030210004</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铁西区生物多样性维护功能生态保护红线</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生物多样性维护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ZH22030210005</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铁西区辽河流域水土保持功能生态保护红线</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ZH22030210006</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铁西区水土保持功能生态保护红线</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ZH22030210007</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铁西区水土保持功能重要区</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ZH22030210008</w:t>
            </w:r>
          </w:p>
        </w:tc>
        <w:tc>
          <w:tcPr>
            <w:tcW w:w="60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铁西区水土流失敏感区</w:t>
            </w:r>
          </w:p>
        </w:tc>
        <w:tc>
          <w:tcPr>
            <w:tcW w:w="374" w:type="pct"/>
            <w:tcBorders>
              <w:top w:val="single" w:color="auto" w:sz="8" w:space="0"/>
              <w:left w:val="single" w:color="auto" w:sz="8" w:space="0"/>
              <w:bottom w:val="single" w:color="auto" w:sz="8"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2" w:type="pct"/>
            <w:tcBorders>
              <w:top w:val="single" w:color="auto" w:sz="8" w:space="0"/>
              <w:left w:val="single" w:color="auto" w:sz="4" w:space="0"/>
              <w:bottom w:val="single" w:color="auto" w:sz="8"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top w:val="single" w:color="auto" w:sz="8" w:space="0"/>
              <w:left w:val="single" w:color="auto" w:sz="4" w:space="0"/>
              <w:bottom w:val="single" w:color="auto" w:sz="8"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50" w:type="pct"/>
            <w:tcBorders>
              <w:top w:val="single" w:color="auto" w:sz="8" w:space="0"/>
              <w:left w:val="single" w:color="auto" w:sz="4" w:space="0"/>
              <w:bottom w:val="single" w:color="auto" w:sz="8"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trPr>
        <w:tc>
          <w:tcPr>
            <w:tcW w:w="46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ZH22030220001</w:t>
            </w:r>
          </w:p>
        </w:tc>
        <w:tc>
          <w:tcPr>
            <w:tcW w:w="602"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四平红嘴经济技术开发区</w:t>
            </w:r>
          </w:p>
        </w:tc>
        <w:tc>
          <w:tcPr>
            <w:tcW w:w="37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2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5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大气环境高排放重点管控区、水环境工业污染重点管控区、建设用地污染风险重点管控区、高污染燃料禁燃区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产业定位：</w:t>
            </w:r>
            <w:r>
              <w:rPr>
                <w:rFonts w:ascii="Times New Roman" w:hAnsi="Times New Roman" w:eastAsia="仿宋" w:cs="Times New Roman"/>
                <w:bCs/>
                <w:kern w:val="0"/>
                <w:sz w:val="20"/>
                <w:szCs w:val="20"/>
              </w:rPr>
              <w:t>装备及机械制造、汽车零部件产业为主导，以专业物流为配套，以新材料、循环经济为新兴产业，以食品加工、医药产业为特色的产业体系。</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r>
              <w:rPr>
                <w:rFonts w:ascii="Times New Roman" w:hAnsi="Times New Roman" w:eastAsia="仿宋" w:cs="Times New Roman"/>
                <w:sz w:val="20"/>
                <w:szCs w:val="20"/>
              </w:rPr>
              <w:t>四平市人民政府关于划定市区高污染燃料禁燃区的通告》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62"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50"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9"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1促进再生水的利用。加强工业节水及循环利用、促进城镇节水、加大农业节水力度；在优先保障生活取水和生态用水的前提下，严格按照用水总量控制红线，控制工业和农业生产取水量。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4完成吉林省下达的产能置换要求。各产业执行对应的清洁生产标准。</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46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ZH22030220002</w:t>
            </w:r>
          </w:p>
        </w:tc>
        <w:tc>
          <w:tcPr>
            <w:tcW w:w="602"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吉林四平新型工业化经济开发区</w:t>
            </w:r>
          </w:p>
        </w:tc>
        <w:tc>
          <w:tcPr>
            <w:tcW w:w="37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tc>
        <w:tc>
          <w:tcPr>
            <w:tcW w:w="950" w:type="pct"/>
            <w:vMerge w:val="restar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w:t>
            </w:r>
          </w:p>
          <w:p>
            <w:pPr>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功能定位：</w:t>
            </w:r>
            <w:r>
              <w:rPr>
                <w:rFonts w:ascii="Times New Roman" w:hAnsi="Times New Roman" w:eastAsia="仿宋" w:cs="Times New Roman"/>
                <w:kern w:val="0"/>
                <w:sz w:val="20"/>
                <w:szCs w:val="20"/>
              </w:rPr>
              <w:t>东北地区商贸物流中心：保税陆港、专业市场集群、枢纽型商品集散地；东北地区先进装备制造业基地：国家农机装备创新示范基地、旅游装备制造基地、高端装备制造基地；吉林省科创孵化基地；吉林省新型化工研发生产基地：生物化工基地、精细化工基地；吉林省绿色产业示范基地：绿色建材基地、循环工业示范基地</w:t>
            </w:r>
            <w:r>
              <w:rPr>
                <w:rFonts w:hint="eastAsia" w:ascii="Times New Roman" w:hAnsi="Times New Roman" w:eastAsia="仿宋" w:cs="Times New Roman"/>
                <w:kern w:val="0"/>
                <w:sz w:val="20"/>
                <w:szCs w:val="20"/>
              </w:rPr>
              <w:t>；黑色金属、有色金属冶炼和压延加工集群（基地）。</w:t>
            </w:r>
          </w:p>
          <w:p>
            <w:pPr>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主导产业：</w:t>
            </w:r>
            <w:r>
              <w:rPr>
                <w:rFonts w:ascii="Times New Roman" w:hAnsi="Times New Roman" w:eastAsia="仿宋" w:cs="Times New Roman"/>
                <w:kern w:val="0"/>
                <w:sz w:val="20"/>
                <w:szCs w:val="20"/>
              </w:rPr>
              <w:t>以钢材生产加工、装备制造、化工、绿色建材、商贸物流</w:t>
            </w:r>
            <w:r>
              <w:rPr>
                <w:rFonts w:hint="eastAsia" w:ascii="Times New Roman" w:hAnsi="Times New Roman" w:eastAsia="仿宋" w:cs="Times New Roman"/>
                <w:kern w:val="0"/>
                <w:sz w:val="20"/>
                <w:szCs w:val="20"/>
              </w:rPr>
              <w:t>、黑色金属冶炼和压延加工业、有色金属冶炼和压延加工业和化工新材料”</w:t>
            </w:r>
            <w:r>
              <w:rPr>
                <w:rFonts w:ascii="Times New Roman" w:hAnsi="Times New Roman" w:eastAsia="仿宋" w:cs="Times New Roman"/>
                <w:kern w:val="0"/>
                <w:sz w:val="20"/>
                <w:szCs w:val="20"/>
              </w:rPr>
              <w:t>为主导，以仓储、加工、展销为配套构建新型化产业发展体系。</w:t>
            </w:r>
          </w:p>
          <w:p>
            <w:pPr>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园区规划环评、《企业事业单位突发环境事件应急预案备案管理办法（试行）》《吉林省“十四五”节能减排综合实施方案》《污染地块土壤环境管理办法（试行）》《土壤污染防治行动计划》《工矿用地土壤环境管理办法（试行）》《吉林省新污染物治理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465"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465"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3严格落实规划环评及其批复文件制定的环境风险防范措施。</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465"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3各产业执行对应的清洁生产标准。</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ZH22030220003</w:t>
            </w:r>
          </w:p>
        </w:tc>
        <w:tc>
          <w:tcPr>
            <w:tcW w:w="602"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铁西区城镇开发边界</w:t>
            </w:r>
          </w:p>
        </w:tc>
        <w:tc>
          <w:tcPr>
            <w:tcW w:w="37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1除在安全或者产业布局等方面有特殊要求的项目外，应避免大规模排放水污染物的项目布局建设。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2对条子河、南条子河、仙马泉河、小红嘴河、东辽河等河流进行河道治理，在河流两侧一定范围内科学合理建设河岸生态缓冲带。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5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大气环境受体敏感重点管控区、水环境城镇生活污染重点管控区、建设用地污染风险重点管控区、高污染燃料禁燃区</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r>
              <w:rPr>
                <w:rFonts w:ascii="Times New Roman" w:hAnsi="Times New Roman" w:eastAsia="仿宋" w:cs="Times New Roman"/>
                <w:kern w:val="0"/>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2重点实施污水处理设施扩建、提标改造及配套管网建设工程。</w:t>
            </w:r>
          </w:p>
        </w:tc>
        <w:tc>
          <w:tcPr>
            <w:tcW w:w="950"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ZH22030220004</w:t>
            </w:r>
          </w:p>
        </w:tc>
        <w:tc>
          <w:tcPr>
            <w:tcW w:w="602"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铁西区大气环境高排放重点管控区</w:t>
            </w:r>
          </w:p>
        </w:tc>
        <w:tc>
          <w:tcPr>
            <w:tcW w:w="374"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5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大气环境高排放重点管控区、水环境农业污染重点管控区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基于“三线”研究成果提出，《吉林省减污降碳协同增效实施方案》《吉林省生态环境保护“十四五”规划》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1"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 w:hRule="atLeast"/>
        </w:trPr>
        <w:tc>
          <w:tcPr>
            <w:tcW w:w="465" w:type="pct"/>
            <w:vMerge w:val="continue"/>
            <w:shd w:val="clear" w:color="auto" w:fill="auto"/>
            <w:vAlign w:val="center"/>
          </w:tcPr>
          <w:p>
            <w:pPr>
              <w:jc w:val="left"/>
              <w:rPr>
                <w:rFonts w:ascii="Times New Roman" w:hAnsi="Times New Roman" w:eastAsia="仿宋" w:cs="Times New Roman"/>
                <w:kern w:val="0"/>
                <w:sz w:val="20"/>
                <w:szCs w:val="20"/>
              </w:rPr>
            </w:pPr>
          </w:p>
        </w:tc>
        <w:tc>
          <w:tcPr>
            <w:tcW w:w="602" w:type="pct"/>
            <w:vMerge w:val="continue"/>
            <w:shd w:val="clear" w:color="auto" w:fill="auto"/>
            <w:vAlign w:val="center"/>
          </w:tcPr>
          <w:p>
            <w:pPr>
              <w:jc w:val="left"/>
              <w:rPr>
                <w:rFonts w:ascii="Times New Roman" w:hAnsi="Times New Roman" w:eastAsia="仿宋" w:cs="Times New Roman"/>
                <w:kern w:val="0"/>
                <w:sz w:val="20"/>
                <w:szCs w:val="20"/>
              </w:rPr>
            </w:pPr>
          </w:p>
        </w:tc>
        <w:tc>
          <w:tcPr>
            <w:tcW w:w="374"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65"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ZH22030220005</w:t>
            </w:r>
          </w:p>
        </w:tc>
        <w:tc>
          <w:tcPr>
            <w:tcW w:w="602"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铁西区大气环境布局敏感重点管控区</w:t>
            </w:r>
          </w:p>
        </w:tc>
        <w:tc>
          <w:tcPr>
            <w:tcW w:w="374"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5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大气环境布局敏感重点管控区、水环境农业污染重点管控区、高污染燃料禁燃区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6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4规模化畜禽养殖场（小区）应当保证畜禽粪污无害化处理和资源化利用设施的正常运转。散养密集区要实行畜禽粪便污水分户收集、集中处理利用。</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46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465"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2"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37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2"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65"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ZH22030220006</w:t>
            </w:r>
          </w:p>
        </w:tc>
        <w:tc>
          <w:tcPr>
            <w:tcW w:w="602"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铁西区建设用地污染风险重点管控区</w:t>
            </w:r>
          </w:p>
        </w:tc>
        <w:tc>
          <w:tcPr>
            <w:tcW w:w="374"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50" w:type="pct"/>
            <w:vMerge w:val="restar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65"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7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65"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74"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65"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ZH22030230001</w:t>
            </w:r>
          </w:p>
        </w:tc>
        <w:tc>
          <w:tcPr>
            <w:tcW w:w="602"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铁西区一般管控区</w:t>
            </w:r>
          </w:p>
        </w:tc>
        <w:tc>
          <w:tcPr>
            <w:tcW w:w="374"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2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0"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97" w:name="_Toc31034"/>
      <w:r>
        <w:rPr>
          <w:rFonts w:ascii="Times New Roman" w:hAnsi="Times New Roman" w:eastAsia="仿宋" w:cs="Times New Roman"/>
          <w:b/>
          <w:bCs/>
          <w:sz w:val="32"/>
          <w:szCs w:val="32"/>
        </w:rPr>
        <w:t>（二十二） 四平市铁东区生态环境准入清单</w:t>
      </w:r>
      <w:bookmarkEnd w:id="97"/>
    </w:p>
    <w:p>
      <w:pPr>
        <w:jc w:val="center"/>
        <w:rPr>
          <w:rFonts w:ascii="Times New Roman" w:hAnsi="Times New Roman" w:eastAsia="仿宋" w:cs="Times New Roman"/>
          <w:b/>
        </w:rPr>
      </w:pPr>
      <w:bookmarkStart w:id="98" w:name="_Hlk22043691"/>
      <w:r>
        <w:rPr>
          <w:rFonts w:ascii="Times New Roman" w:hAnsi="Times New Roman" w:eastAsia="仿宋" w:cs="Times New Roman"/>
          <w:b/>
        </w:rPr>
        <w:t>表4-22-1 四平市铁东区区域特征研判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Cs w:val="21"/>
              </w:rPr>
            </w:pPr>
            <w:r>
              <w:rPr>
                <w:rFonts w:ascii="Times New Roman" w:hAnsi="Times New Roman" w:eastAsia="仿宋" w:cs="Times New Roman"/>
                <w:szCs w:val="21"/>
              </w:rPr>
              <w:t>1.《吉林省主体功能区规划》中的重点开发区域。</w:t>
            </w:r>
          </w:p>
          <w:p>
            <w:pPr>
              <w:rPr>
                <w:rFonts w:ascii="Times New Roman" w:hAnsi="Times New Roman" w:eastAsia="仿宋" w:cs="Times New Roman"/>
                <w:szCs w:val="21"/>
              </w:rPr>
            </w:pPr>
            <w:r>
              <w:rPr>
                <w:rFonts w:ascii="Times New Roman" w:hAnsi="Times New Roman" w:eastAsia="仿宋" w:cs="Times New Roman"/>
                <w:szCs w:val="21"/>
              </w:rPr>
              <w:t>2.铁东区是四平市主城区，总面积945平方公里。辖8个街道3个镇1个乡。</w:t>
            </w:r>
          </w:p>
          <w:p>
            <w:pPr>
              <w:rPr>
                <w:rFonts w:ascii="Times New Roman" w:hAnsi="Times New Roman" w:eastAsia="仿宋" w:cs="Times New Roman"/>
                <w:szCs w:val="21"/>
              </w:rPr>
            </w:pP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发展以专用汽车、汽车配套、换热器、农业机械为主的特色装备制造业；积极发展现代物流；能源、医药产业，大力发展现代农业，信息服务、金融服务等生产性、生活性服务业，打造连接辽宁东北部的重要交通枢纽城市，增强产业集聚和人口承载能力，建设吉林中南部重要的区域性中心城市。</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人居安全；吉林半拉山国家森林公园；四平山门中生代火山国家级自然保护；下三台水库；二龙湖国家级水产种质资源保护区；二龙山水库</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（1）控制建设用地总规模。</w:t>
            </w:r>
          </w:p>
          <w:p>
            <w:pPr>
              <w:rPr>
                <w:rFonts w:ascii="Times New Roman" w:hAnsi="Times New Roman" w:eastAsia="仿宋" w:cs="Times New Roman"/>
                <w:bCs/>
                <w:szCs w:val="21"/>
              </w:rPr>
            </w:pPr>
            <w:r>
              <w:rPr>
                <w:rFonts w:ascii="Times New Roman" w:hAnsi="Times New Roman" w:eastAsia="仿宋" w:cs="Times New Roman"/>
                <w:bCs/>
                <w:szCs w:val="21"/>
              </w:rPr>
              <w:t>（2）改善工居混杂问题。</w:t>
            </w:r>
          </w:p>
        </w:tc>
      </w:tr>
      <w:bookmarkEnd w:id="98"/>
    </w:tbl>
    <w:p>
      <w:pP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表4-22-2  四平市铁东区生态环境准入清单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0"/>
        <w:gridCol w:w="2576"/>
        <w:gridCol w:w="1726"/>
        <w:gridCol w:w="1874"/>
        <w:gridCol w:w="9241"/>
        <w:gridCol w:w="38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0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08"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4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85"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07"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ZH22030310001</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吉林四平山门中生代火山国家级自然保护区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ZH22030310002</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吉林四平半拉山国家森林公园</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3生态保护红线内国家级森林公园执行《国家级自然公园管理办法（试行）》相关要求。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ZH22030310003</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吉林四平二龙湖省级森林公园</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ZH22030310004</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四平市下三台水库饮用水水源地保护区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2生态保护红线内饮用水水源保护区执行《中华人民共和国水污染防治法》《饮用水水源保护区污染防治管理规定》《吉林省城镇饮用水水源保护条例》《四平市市区饮用水水源地保护条例》相关要求。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ZH22030310005</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四平市下三台水库饮用水水源地保护区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2饮用水水源保护区执行《中华人民共和国水污染防治法》《饮用水水源保护区污染防治管理规定》《吉林省城镇饮用水水源保护条例》《四平市市区饮用水水源地保护条例》相关要求。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ZH22030310006</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四平市山门水库饮用水水源保护区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2饮用水水源保护区执行《中华人民共和国水污染防治法》《饮用水水源保护区污染防治管理规定》《吉林省城镇饮用水水源保护条例》《四平市市区饮用水水源地保护条例》相关要求。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ZH22030310007</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二龙山水库生活饮用水水源保护区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2饮用水水源保护区执行《中华人民共和国水污染防治法》《饮用水水源保护区污染防治管理规定》《吉林省城镇饮用水水源保护条例》《四平市市区饮用水水源地保护条例》相关要求。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3水产种质资源保护区执行《水产种质资源保护区管理办法》相关要求。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饮用水水源保护区、水产种质资源保护区、</w:t>
            </w:r>
            <w:r>
              <w:rPr>
                <w:rFonts w:hint="eastAsia" w:ascii="Times New Roman" w:hAnsi="Times New Roman" w:eastAsia="仿宋" w:cs="Times New Roman"/>
                <w:sz w:val="20"/>
                <w:szCs w:val="20"/>
              </w:rPr>
              <w:t>防风固沙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ZH22030310008</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二龙湖国家级水产种质资源保护区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r>
              <w:rPr>
                <w:rFonts w:hint="eastAsia" w:ascii="Times New Roman" w:hAnsi="Times New Roman" w:eastAsia="仿宋" w:cs="Times New Roman"/>
                <w:sz w:val="20"/>
                <w:szCs w:val="20"/>
              </w:rPr>
              <w:t>防风固沙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ZH22030310009</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铁东区防风固沙重要区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ZH22030310010</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铁东区水土保持功能生态保护红线</w:t>
            </w:r>
          </w:p>
        </w:tc>
        <w:tc>
          <w:tcPr>
            <w:tcW w:w="408"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2生态保护红线内饮用水水源保护区执行《中华人民共和国水污染防治法》《饮用水水源保护区污染防治管理规定》《吉林省城镇饮用水水源保护条例》《四平市市区饮用水水源地保护条例》相关要求。</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ZH22030310011</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铁东区水土保持功能重要区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7"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ZH22030310012</w:t>
            </w:r>
          </w:p>
        </w:tc>
        <w:tc>
          <w:tcPr>
            <w:tcW w:w="60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铁东区水土流失敏感区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47"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ZH22030320001</w:t>
            </w:r>
          </w:p>
        </w:tc>
        <w:tc>
          <w:tcPr>
            <w:tcW w:w="60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吉林四平经济开发区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07"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以汽车装备制造业、金属制品业、通用及专用设备制造、轻工（以食品、医药、酒及饮料、农副产品制造业为主，兼顾木材及家具制造、塑料、纸制品制造、印刷、文教用品制造等）、建材、废弃资源综合利用、市政配套设施及平东老工业区上下游产业为主，兼顾仓储物流及现代服务业。</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基于“三线”研究成果提出，结合园区规划环评、《企业事业单位突发环境事件应急预案备案管理办法（试行）》</w:t>
            </w:r>
            <w:r>
              <w:rPr>
                <w:rFonts w:ascii="Times New Roman" w:hAnsi="Times New Roman" w:eastAsia="仿宋" w:cs="Times New Roman"/>
                <w:kern w:val="0"/>
                <w:sz w:val="20"/>
                <w:szCs w:val="20"/>
              </w:rPr>
              <w:t>《污染地块土壤环境管理办法（试行）》《工矿用地土壤环境管理办法（试行）》《中共吉林省委 吉林省人民政府关于深入打好污染防治攻坚战的实施意见》《吉林省减污降碳协同增效实施方案》《吉林省 “十四五”节能减排综合实施方案》《四平市人民政府关于划定市区高污染燃料禁燃区的通告》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47" w:type="pct"/>
            <w:vMerge w:val="continue"/>
            <w:shd w:val="clear" w:color="auto" w:fill="auto"/>
            <w:vAlign w:val="center"/>
          </w:tcPr>
          <w:p>
            <w:pPr>
              <w:rPr>
                <w:rFonts w:ascii="Times New Roman" w:hAnsi="Times New Roman" w:eastAsia="仿宋" w:cs="Times New Roman"/>
                <w:color w:val="FF0000"/>
                <w:sz w:val="20"/>
                <w:szCs w:val="20"/>
              </w:rPr>
            </w:pPr>
          </w:p>
        </w:tc>
        <w:tc>
          <w:tcPr>
            <w:tcW w:w="609" w:type="pct"/>
            <w:vMerge w:val="continue"/>
            <w:shd w:val="clear" w:color="auto" w:fill="auto"/>
            <w:vAlign w:val="center"/>
          </w:tcPr>
          <w:p>
            <w:pPr>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07" w:type="pct"/>
            <w:vMerge w:val="continue"/>
            <w:tcBorders>
              <w:left w:val="single" w:color="auto" w:sz="4" w:space="0"/>
              <w:right w:val="single" w:color="auto" w:sz="4" w:space="0"/>
            </w:tcBorders>
            <w:vAlign w:val="center"/>
          </w:tcPr>
          <w:p>
            <w:pPr>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447"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0" w:hRule="atLeast"/>
        </w:trPr>
        <w:tc>
          <w:tcPr>
            <w:tcW w:w="447"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1完成吉林省下达的产能置换要求。各产业执行对应的清洁生产标准。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。燃用生物质成型燃料必须配备生物质成型燃料专用锅炉，并按规定安装除尘设施。</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ZH22030320002</w:t>
            </w:r>
          </w:p>
        </w:tc>
        <w:tc>
          <w:tcPr>
            <w:tcW w:w="609"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铁东区城镇开发边界</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2对条子河、南条子河、仙马泉河、叶赫河、石岭河、龙吟河、东辽河、山门河、虫王河、龙王河、英城子河、下二台河等河流进行河道治理，在河流两侧一定范围内科学合理建设河岸生态缓冲带。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07"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大气环境受体敏感重点管控区、水环境城镇生活污染重点管控区、建设用地污染风险重点管控区、四平山门银矿重点矿区、高污染燃料禁燃区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是全市的综合性中心，是省域南部的交通枢纽和物流中心，以农牧产品加工和机械制造（包括换热器、汽车零部件、农业机械等）为主要基本职能。大力发展现代农业，信息服务、金融服务等生产性、生活性服务业、商贸物流业和旅游业。</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2重点实施污水处理设施扩建、提标改造及配套管网建设工程。</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ZH22030320003</w:t>
            </w:r>
          </w:p>
        </w:tc>
        <w:tc>
          <w:tcPr>
            <w:tcW w:w="609"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铁东区大气环境高排放重点管控区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07"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要素分区：大气环境高排放重点管控区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依据：《中共吉林省委 吉林省人民政府关于深入打好污染防治攻坚战的实施意见》《吉林省减污降碳协同增效实施方案》《吉林省生态环境保护“十四五”规划》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47"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9" w:hRule="atLeast"/>
        </w:trPr>
        <w:tc>
          <w:tcPr>
            <w:tcW w:w="447"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ZH22030320004</w:t>
            </w:r>
          </w:p>
        </w:tc>
        <w:tc>
          <w:tcPr>
            <w:tcW w:w="609"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铁东区大气环境布局敏感重点管控区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07"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大气环境布局敏感重点管控区、建设用地污染风险重点管控区、高污染燃料禁燃区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深入推进秸秆禁烧管控，实行秸秆全域禁烧。加快淘汰老旧车辆；强化道路扬尘控制。</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4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管委会规定的期限内改用天然气、液化石油气、电或者其他清洁能源。</w:t>
            </w:r>
          </w:p>
        </w:tc>
        <w:tc>
          <w:tcPr>
            <w:tcW w:w="907"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ZH22030320005</w:t>
            </w:r>
          </w:p>
        </w:tc>
        <w:tc>
          <w:tcPr>
            <w:tcW w:w="609"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铁东区建设用地污染风险重点管控区</w:t>
            </w:r>
          </w:p>
        </w:tc>
        <w:tc>
          <w:tcPr>
            <w:tcW w:w="408"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建设用地污染风险重点管控区、四平山门银矿重点矿区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0"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09"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08"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4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85"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ZH22030320006</w:t>
            </w:r>
          </w:p>
        </w:tc>
        <w:tc>
          <w:tcPr>
            <w:tcW w:w="60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四平山门银矿重点矿区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四平山门银矿重点矿区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47"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ZH22030330001</w:t>
            </w:r>
          </w:p>
        </w:tc>
        <w:tc>
          <w:tcPr>
            <w:tcW w:w="60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铁东区一般管控区</w:t>
            </w:r>
          </w:p>
        </w:tc>
        <w:tc>
          <w:tcPr>
            <w:tcW w:w="40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4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5"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07"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rPr>
          <w:rFonts w:ascii="Times New Roman" w:hAnsi="Times New Roman" w:eastAsia="仿宋" w:cs="Times New Roman"/>
          <w:b/>
          <w:bCs/>
          <w:color w:val="FF0000"/>
          <w:sz w:val="32"/>
          <w:szCs w:val="32"/>
        </w:rPr>
      </w:pPr>
    </w:p>
    <w:p>
      <w:pPr>
        <w:keepNext/>
        <w:keepLines/>
        <w:spacing w:before="260" w:after="260"/>
        <w:outlineLvl w:val="1"/>
        <w:rPr>
          <w:rFonts w:ascii="Times New Roman" w:hAnsi="Times New Roman" w:eastAsia="仿宋" w:cs="Times New Roman"/>
          <w:b/>
          <w:bCs/>
          <w:sz w:val="32"/>
          <w:szCs w:val="32"/>
        </w:rPr>
      </w:pPr>
      <w:bookmarkStart w:id="99" w:name="_Toc15313"/>
      <w:r>
        <w:rPr>
          <w:rFonts w:ascii="Times New Roman" w:hAnsi="Times New Roman" w:eastAsia="仿宋" w:cs="Times New Roman"/>
          <w:b/>
          <w:bCs/>
          <w:sz w:val="32"/>
          <w:szCs w:val="32"/>
        </w:rPr>
        <w:t>（二十三） 四平市梨树县生态环境准入清单</w:t>
      </w:r>
      <w:bookmarkEnd w:id="99"/>
    </w:p>
    <w:p>
      <w:pPr>
        <w:jc w:val="center"/>
        <w:rPr>
          <w:rFonts w:ascii="Times New Roman" w:hAnsi="Times New Roman" w:eastAsia="仿宋" w:cs="Times New Roman"/>
          <w:b/>
        </w:rPr>
      </w:pPr>
      <w:r>
        <w:rPr>
          <w:rFonts w:ascii="Times New Roman" w:hAnsi="Times New Roman" w:eastAsia="仿宋" w:cs="Times New Roman"/>
          <w:b/>
        </w:rPr>
        <w:t>表4-23-1 四平市梨树县区域特征研判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8" w:type="pct"/>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9" w:type="pct"/>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vAlign w:val="center"/>
          </w:tcPr>
          <w:p>
            <w:pPr>
              <w:rPr>
                <w:rFonts w:ascii="Times New Roman" w:hAnsi="Times New Roman" w:eastAsia="仿宋" w:cs="Times New Roman"/>
                <w:szCs w:val="21"/>
              </w:rPr>
            </w:pPr>
            <w:r>
              <w:rPr>
                <w:rFonts w:ascii="Times New Roman" w:hAnsi="Times New Roman" w:eastAsia="仿宋" w:cs="Times New Roman"/>
                <w:szCs w:val="21"/>
              </w:rPr>
              <w:t>1.《吉林省主体功能区规划》中的农产品主产区。</w:t>
            </w:r>
          </w:p>
          <w:p>
            <w:pPr>
              <w:rPr>
                <w:rFonts w:ascii="Times New Roman" w:hAnsi="Times New Roman" w:eastAsia="仿宋" w:cs="Times New Roman"/>
                <w:szCs w:val="21"/>
              </w:rPr>
            </w:pPr>
            <w:r>
              <w:rPr>
                <w:rFonts w:ascii="Times New Roman" w:hAnsi="Times New Roman" w:eastAsia="仿宋" w:cs="Times New Roman"/>
                <w:szCs w:val="21"/>
              </w:rPr>
              <w:t>2. 位于吉林省中西部，省会长春市南面，境内有东辽河、招苏太河等河流。总面积2968平方公里。辖15个镇、6个乡、3个街道办事处。</w:t>
            </w:r>
          </w:p>
          <w:p>
            <w:pPr>
              <w:rPr>
                <w:rFonts w:ascii="Times New Roman" w:hAnsi="Times New Roman" w:eastAsia="仿宋" w:cs="Times New Roman"/>
                <w:szCs w:val="21"/>
              </w:rPr>
            </w:pPr>
          </w:p>
        </w:tc>
        <w:tc>
          <w:tcPr>
            <w:tcW w:w="1618" w:type="pct"/>
            <w:vAlign w:val="center"/>
          </w:tcPr>
          <w:p>
            <w:pPr>
              <w:rPr>
                <w:rFonts w:ascii="Times New Roman" w:hAnsi="Times New Roman" w:eastAsia="仿宋" w:cs="Times New Roman"/>
                <w:bCs/>
                <w:szCs w:val="21"/>
              </w:rPr>
            </w:pPr>
            <w:r>
              <w:rPr>
                <w:rFonts w:ascii="Times New Roman" w:hAnsi="Times New Roman" w:eastAsia="仿宋" w:cs="Times New Roman"/>
                <w:bCs/>
                <w:szCs w:val="21"/>
              </w:rPr>
              <w:t>依托产业基础和区位优势，落实“一主、六双”、长平一体化发展战略，重点发展现代农业、食品加工、生态化工、医药健康、休闲旅游等产业，统筹配套创新链、资金链和服务链，促进产业基础高级化、产业链现代化。</w:t>
            </w:r>
          </w:p>
        </w:tc>
        <w:tc>
          <w:tcPr>
            <w:tcW w:w="1169" w:type="pct"/>
            <w:vAlign w:val="center"/>
          </w:tcPr>
          <w:p>
            <w:pPr>
              <w:rPr>
                <w:rFonts w:ascii="Times New Roman" w:hAnsi="Times New Roman" w:eastAsia="仿宋" w:cs="Times New Roman"/>
                <w:bCs/>
                <w:szCs w:val="21"/>
              </w:rPr>
            </w:pPr>
            <w:r>
              <w:rPr>
                <w:rFonts w:ascii="Times New Roman" w:hAnsi="Times New Roman" w:eastAsia="仿宋" w:cs="Times New Roman"/>
                <w:bCs/>
                <w:szCs w:val="21"/>
              </w:rPr>
              <w:t>/</w:t>
            </w:r>
          </w:p>
        </w:tc>
        <w:tc>
          <w:tcPr>
            <w:tcW w:w="1089" w:type="pct"/>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黑土地资源；梨树县国家级公益林</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（1）确保人类开发活动不挤占耕地。</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表4-23-2  四平市梨树县生态环境准入清单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71"/>
        <w:gridCol w:w="2420"/>
        <w:gridCol w:w="1637"/>
        <w:gridCol w:w="1747"/>
        <w:gridCol w:w="9433"/>
        <w:gridCol w:w="39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7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7"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3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0"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ZH22032210001</w:t>
            </w:r>
          </w:p>
        </w:tc>
        <w:tc>
          <w:tcPr>
            <w:tcW w:w="57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梨树县国家级公益林</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ZH22032210002</w:t>
            </w:r>
          </w:p>
        </w:tc>
        <w:tc>
          <w:tcPr>
            <w:tcW w:w="57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梨树县黑土地保护区</w:t>
            </w:r>
          </w:p>
        </w:tc>
        <w:tc>
          <w:tcPr>
            <w:tcW w:w="38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b/>
                <w:bCs/>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ZH22032210003</w:t>
            </w:r>
          </w:p>
        </w:tc>
        <w:tc>
          <w:tcPr>
            <w:tcW w:w="57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梨树县防风固沙重要区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2禁止发展高耗水工业。</w:t>
            </w:r>
          </w:p>
          <w:p>
            <w:pPr>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rPr>
              <w:t>7</w:t>
            </w:r>
            <w:r>
              <w:rPr>
                <w:rFonts w:ascii="Times New Roman" w:hAnsi="Times New Roman" w:eastAsia="仿宋" w:cs="Times New Roman"/>
                <w:kern w:val="0"/>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p>
            <w:pPr>
              <w:rPr>
                <w:rFonts w:ascii="Times New Roman" w:hAnsi="Times New Roman" w:eastAsia="仿宋" w:cs="Times New Roman"/>
                <w:szCs w:val="21"/>
              </w:rPr>
            </w:pPr>
            <w:r>
              <w:rPr>
                <w:rFonts w:ascii="Times New Roman" w:hAnsi="Times New Roman" w:eastAsia="仿宋" w:cs="Times New Roman"/>
                <w:kern w:val="0"/>
                <w:sz w:val="20"/>
                <w:szCs w:val="20"/>
              </w:rPr>
              <w:t>8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防风固沙、水土流失、盐渍化、土地沙化、黑土地保护区</w:t>
            </w:r>
          </w:p>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ZH22032210004</w:t>
            </w:r>
          </w:p>
        </w:tc>
        <w:tc>
          <w:tcPr>
            <w:tcW w:w="57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梨树县水土保持功能生态保护红线</w:t>
            </w:r>
          </w:p>
        </w:tc>
        <w:tc>
          <w:tcPr>
            <w:tcW w:w="38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bCs/>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ZH22032210005</w:t>
            </w:r>
          </w:p>
        </w:tc>
        <w:tc>
          <w:tcPr>
            <w:tcW w:w="572"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梨树县土地沙化敏感区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土地沙化</w:t>
            </w:r>
          </w:p>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2" w:hRule="atLeast"/>
        </w:trPr>
        <w:tc>
          <w:tcPr>
            <w:tcW w:w="46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ZH22032220001</w:t>
            </w:r>
          </w:p>
        </w:tc>
        <w:tc>
          <w:tcPr>
            <w:tcW w:w="572"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吉林梨树经济开发区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30"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开发区规划建成吉林省中部农副产品加工基地、绿色健康产业基地、吉林省高新技术产业基地</w:t>
            </w:r>
            <w:r>
              <w:rPr>
                <w:rFonts w:hint="eastAsia" w:ascii="Times New Roman" w:hAnsi="Times New Roman" w:eastAsia="仿宋" w:cs="Times New Roman"/>
                <w:bCs/>
                <w:kern w:val="0"/>
                <w:sz w:val="20"/>
                <w:szCs w:val="20"/>
              </w:rPr>
              <w:t>、乡村旅游、数字化农业生产基地</w:t>
            </w:r>
            <w:r>
              <w:rPr>
                <w:rFonts w:ascii="Times New Roman" w:hAnsi="Times New Roman" w:eastAsia="仿宋" w:cs="Times New Roman"/>
                <w:bCs/>
                <w:kern w:val="0"/>
                <w:sz w:val="20"/>
                <w:szCs w:val="20"/>
              </w:rPr>
              <w:t>。</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医药、食品加工、农副产品加工及精深加工、饲料加工、有机复混肥生产、建材、新型材料、旅游开发、仓储物流、现代服务业</w:t>
            </w:r>
            <w:r>
              <w:rPr>
                <w:rFonts w:hint="eastAsia" w:ascii="Times New Roman" w:hAnsi="Times New Roman" w:eastAsia="仿宋" w:cs="Times New Roman"/>
                <w:bCs/>
                <w:kern w:val="0"/>
                <w:sz w:val="20"/>
                <w:szCs w:val="20"/>
              </w:rPr>
              <w:t>、塑料制品加工、清洁能源综合利用、机械装备制造等</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《企业事业单位突发环境事件应急预案备案管理办法（试行）》《中共吉林省委 吉林省人民政府关于深入打好污染防治攻坚战的实施意见》《吉林省减污降碳协同增效实施方案》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 w:hRule="atLeast"/>
        </w:trPr>
        <w:tc>
          <w:tcPr>
            <w:tcW w:w="466" w:type="pct"/>
            <w:vMerge w:val="continue"/>
            <w:shd w:val="clear" w:color="auto" w:fill="auto"/>
            <w:vAlign w:val="center"/>
          </w:tcPr>
          <w:p>
            <w:pPr>
              <w:rPr>
                <w:rFonts w:ascii="Times New Roman" w:hAnsi="Times New Roman" w:eastAsia="仿宋" w:cs="Times New Roman"/>
                <w:color w:val="FF0000"/>
                <w:sz w:val="20"/>
                <w:szCs w:val="20"/>
              </w:rPr>
            </w:pPr>
          </w:p>
        </w:tc>
        <w:tc>
          <w:tcPr>
            <w:tcW w:w="572" w:type="pct"/>
            <w:vMerge w:val="continue"/>
            <w:shd w:val="clear" w:color="auto" w:fill="auto"/>
            <w:vAlign w:val="center"/>
          </w:tcPr>
          <w:p>
            <w:pPr>
              <w:rPr>
                <w:rFonts w:ascii="Times New Roman" w:hAnsi="Times New Roman" w:eastAsia="仿宋" w:cs="Times New Roman"/>
                <w:color w:val="FF000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tcBorders>
              <w:left w:val="single" w:color="auto" w:sz="4" w:space="0"/>
              <w:right w:val="single" w:color="auto" w:sz="4" w:space="0"/>
            </w:tcBorders>
            <w:vAlign w:val="center"/>
          </w:tcPr>
          <w:p>
            <w:pPr>
              <w:widowControl/>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572"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38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2严格落实规划环评及其批复文件制定的环境风险防范措施。</w:t>
            </w:r>
          </w:p>
        </w:tc>
        <w:tc>
          <w:tcPr>
            <w:tcW w:w="930"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2" w:hRule="atLeast"/>
        </w:trPr>
        <w:tc>
          <w:tcPr>
            <w:tcW w:w="46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572"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38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3促进再生水的利用。加强工业节水及循环利用、促进城镇节水、加大农业节水力度；在优先保障生活取水和生态用水的前提下，严格按照用水总量控制红线，控制工业和农业生产取水量。</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ZH22032220002</w:t>
            </w:r>
          </w:p>
        </w:tc>
        <w:tc>
          <w:tcPr>
            <w:tcW w:w="572"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梨树县城镇开发边界</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3对东辽河、招苏台河等河流进行河道治理，在河流两侧一定范围内科学合理建设河岸生态缓冲带。</w:t>
            </w:r>
          </w:p>
        </w:tc>
        <w:tc>
          <w:tcPr>
            <w:tcW w:w="930"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为县域提供公共服务职能，以农畜产品加工、建材和农用机械制造为基本职能</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除在安全或者产业布局等方面有特殊要求的项目外，应严格控制新建、扩建采用高污染燃料的项目和设施。</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ZH22032220003</w:t>
            </w:r>
          </w:p>
        </w:tc>
        <w:tc>
          <w:tcPr>
            <w:tcW w:w="572"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梨树县大气环境高排放重点管控区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3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ZH22032220004</w:t>
            </w:r>
          </w:p>
        </w:tc>
        <w:tc>
          <w:tcPr>
            <w:tcW w:w="572"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梨树县大气环境布局敏感重点管控区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3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大气环境布局敏感重点管控区、水环境农业污染重点管控区、建设用地污染风险重点管控区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1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trPr>
        <w:tc>
          <w:tcPr>
            <w:tcW w:w="46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572"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trPr>
        <w:tc>
          <w:tcPr>
            <w:tcW w:w="46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ZH22032220005</w:t>
            </w:r>
          </w:p>
        </w:tc>
        <w:tc>
          <w:tcPr>
            <w:tcW w:w="572"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梨树县水环境农业污染重点管控区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30" w:type="pct"/>
            <w:tcBorders>
              <w:left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水环境农业污染重点管控区</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ZH22032230001</w:t>
            </w:r>
          </w:p>
        </w:tc>
        <w:tc>
          <w:tcPr>
            <w:tcW w:w="572"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梨树县一般管控区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100" w:name="_Toc26491"/>
      <w:r>
        <w:rPr>
          <w:rFonts w:ascii="Times New Roman" w:hAnsi="Times New Roman" w:eastAsia="仿宋" w:cs="Times New Roman"/>
          <w:b/>
          <w:bCs/>
          <w:sz w:val="32"/>
          <w:szCs w:val="32"/>
        </w:rPr>
        <w:t>（二十四） 四平市伊通县生态环境准入清单</w:t>
      </w:r>
      <w:bookmarkEnd w:id="100"/>
    </w:p>
    <w:p>
      <w:pPr>
        <w:jc w:val="center"/>
        <w:rPr>
          <w:rFonts w:ascii="Times New Roman" w:hAnsi="Times New Roman" w:eastAsia="仿宋" w:cs="Times New Roman"/>
          <w:b/>
        </w:rPr>
      </w:pPr>
      <w:r>
        <w:rPr>
          <w:rFonts w:ascii="Times New Roman" w:hAnsi="Times New Roman" w:eastAsia="仿宋" w:cs="Times New Roman"/>
          <w:b/>
        </w:rPr>
        <w:t>表4-24-1四平市伊通县区域特征研判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Cs w:val="21"/>
              </w:rPr>
            </w:pPr>
            <w:r>
              <w:rPr>
                <w:rFonts w:ascii="Times New Roman" w:hAnsi="Times New Roman" w:eastAsia="仿宋" w:cs="Times New Roman"/>
                <w:szCs w:val="21"/>
              </w:rPr>
              <w:t>位于吉林省中部，东与长春市双阳区、东南与磐石市接壤，南接东丰、东辽二县，西南与梨树县为邻，西南西北面与公主岭市接界，北与长春市郊区毗连。辖12个镇3个乡2个街道。辖区面积2523平方公里。</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1.打造绿色农产品供应基地，大力发展绿色有机农业，为长春及周边城市提供优质农产品，提升农业效益。2.</w:t>
            </w:r>
            <w:r>
              <w:rPr>
                <w:rFonts w:ascii="Times New Roman" w:hAnsi="Times New Roman" w:eastAsia="仿宋" w:cs="Times New Roman"/>
              </w:rPr>
              <w:t xml:space="preserve"> </w:t>
            </w:r>
            <w:r>
              <w:rPr>
                <w:rFonts w:ascii="Times New Roman" w:hAnsi="Times New Roman" w:eastAsia="仿宋" w:cs="Times New Roman"/>
                <w:bCs/>
                <w:szCs w:val="21"/>
              </w:rPr>
              <w:t>打造智能制造产业，突出打造汽车零部件配套基地，紧扣长春产业脉搏，瞄准智能装备、智能产品、智能制造以及汽车零部件产业链上下游产业，主动出击，精准招商，逐步培育壮大成伊通新的产业支撑。3.打造休闲度假旅游基地，积极推进国家全域旅游示范区创建，探索发展旅游新业态，依托优势，大力发展特色游，形成特色旅游品牌。</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黑土地资源；伊通火山群国家级自然保护区；吉林伊通河源省级自然保护区；二龙湖国家级水产种质资源保护区；伊通满族自治县欢欣岭鲇鱼省级水产种质资源保护区；二龙山水库；伊通县国家级公益林。</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（1）确保人类开发活动不挤占耕地。</w:t>
            </w:r>
          </w:p>
          <w:p>
            <w:pPr>
              <w:rPr>
                <w:rFonts w:ascii="Times New Roman" w:hAnsi="Times New Roman" w:eastAsia="仿宋" w:cs="Times New Roman"/>
                <w:bCs/>
                <w:szCs w:val="21"/>
              </w:rPr>
            </w:pPr>
          </w:p>
        </w:tc>
      </w:tr>
    </w:tbl>
    <w:p>
      <w:pP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表4-24-2  四平市伊通县生态环境准入清单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36"/>
        <w:gridCol w:w="2627"/>
        <w:gridCol w:w="1637"/>
        <w:gridCol w:w="1946"/>
        <w:gridCol w:w="9023"/>
        <w:gridCol w:w="40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21"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7"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6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3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63"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ZH22032310001</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吉林伊通火山群国家级自然保护区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4生态保护红线内饮用水水源保护区执行《中华人民共和国水污染防治法》《饮用水水源保护区污染防治管理规定》《吉林省城镇饮用水水源保护条例》相关要求。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ZH22032310002</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吉林伊通河源省级自然保护区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ZH22032310003</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吉林四平二龙湖省级森林公园</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生态保护红线内水产种质资源保护区执行《水产种质资源保护区管理办法》相关要求。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ZH22032310004</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二龙山水库生活饮用水水源保护区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3水产种质资源保护区执行《水产种质资源保护区管理办法》相关要求。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黑土地保护区执行《吉林省黑土地保护条例》相关要求。推广秸秆还田、机械深松、施用有机肥、土壤养分调控等技术；推行“一翻两免”耕作技术模式；建立农牧结合、种养循环试点，有效利用畜禽粪便资源。</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ZH22032310005</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伊通满族自治县欢欣岭鲇鱼省级水产种质资源保护区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ZH22032310006</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二龙湖国家级水产种质资源保护区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 水产种质资源保护区执行《水产种质资源保护区管理办法》相关要求。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ZH22032310007</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伊通县国家级公益林</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ZH22032310008</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伊通满族自治县黑土地保护区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ZH22032310009</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伊通县防风固沙重要区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6</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7黑土地保护区执行《吉林省黑土地保护条例》相关要求。推广秸秆还田、机械深松、施用有机肥、土壤养分调控等技术；推行“一翻两免”耕作技术模式；建立农牧结合、种养循环试点，有效利用畜禽粪便资源。</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防风固沙、生物多样性、水土保持、水土流失、黑土地保护区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ZH22032310010</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伊通县生物多样性维护功能生态保护红线</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ZH22032310011</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伊通县松嫩平原水土保持功能生态保护红线</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ZH22032310012</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伊通县水土保持功能重要区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ZH22032310013</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伊通县水土流失功能生态保护红线</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2生态保护红线内饮用水水源保护区执行《中华人民共和国水污染防治法》《饮用水水源保护区污染防治管理规定》《吉林省城镇饮用水水源保护条例》《四平市市区饮用水水源地保护条例》相关要求。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3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ZH22032310014</w:t>
            </w:r>
          </w:p>
        </w:tc>
        <w:tc>
          <w:tcPr>
            <w:tcW w:w="62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伊通县水土流失敏感区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2</w:t>
            </w: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rPr>
        <w:tc>
          <w:tcPr>
            <w:tcW w:w="43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ZH22032320001</w:t>
            </w:r>
          </w:p>
        </w:tc>
        <w:tc>
          <w:tcPr>
            <w:tcW w:w="621"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吉林伊通经济开发区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3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63" w:type="pct"/>
            <w:vMerge w:val="restart"/>
            <w:tcBorders>
              <w:left w:val="single" w:color="auto" w:sz="4" w:space="0"/>
              <w:right w:val="single" w:color="auto" w:sz="4" w:space="0"/>
            </w:tcBorders>
            <w:vAlign w:val="center"/>
          </w:tcPr>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贯彻落实县委、县政府提出的“四个伊通”建设和“12131415”战略布局，做强做大医药健康产业（包括食品加工业）、智能制造业和现代服务业三大主导产业，培育战略新型产业和新的经济增长点，把开发区打造成伊通经济发展的新引擎，承接项目的最佳招商载体，产业集聚新的龙头。努力成为省级开发区的排头兵、可持续发展的多领域示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医药健康产业（包括食品加工业）、装备制造业、现代服务业、鹿特色、建材、民族服饰、农副产品加工。</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rPr>
        <w:tc>
          <w:tcPr>
            <w:tcW w:w="434" w:type="pct"/>
            <w:vMerge w:val="continue"/>
            <w:shd w:val="clear" w:color="auto" w:fill="auto"/>
            <w:vAlign w:val="center"/>
          </w:tcPr>
          <w:p>
            <w:pPr>
              <w:rPr>
                <w:rFonts w:ascii="Times New Roman" w:hAnsi="Times New Roman" w:eastAsia="仿宋" w:cs="Times New Roman"/>
                <w:sz w:val="20"/>
                <w:szCs w:val="20"/>
              </w:rPr>
            </w:pPr>
          </w:p>
        </w:tc>
        <w:tc>
          <w:tcPr>
            <w:tcW w:w="621" w:type="pct"/>
            <w:vMerge w:val="continue"/>
            <w:shd w:val="clear" w:color="auto" w:fill="auto"/>
            <w:vAlign w:val="center"/>
          </w:tcPr>
          <w:p>
            <w:pPr>
              <w:rPr>
                <w:rFonts w:ascii="Times New Roman" w:hAnsi="Times New Roman" w:eastAsia="仿宋" w:cs="Times New Roman"/>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kern w:val="0"/>
                <w:sz w:val="20"/>
                <w:szCs w:val="20"/>
              </w:rPr>
              <w:tab/>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5未完成水环境质量改善目标要求的地区，暂停审批新增重点水污染物排放总量的建设项目。新建、改建、扩建重点行业建设项目应提出有效的区域削减方案，主要污染物实行区域倍量削减。</w:t>
            </w:r>
          </w:p>
        </w:tc>
        <w:tc>
          <w:tcPr>
            <w:tcW w:w="963" w:type="pct"/>
            <w:vMerge w:val="continue"/>
            <w:tcBorders>
              <w:left w:val="single" w:color="auto" w:sz="4" w:space="0"/>
              <w:right w:val="single" w:color="auto" w:sz="4" w:space="0"/>
            </w:tcBorders>
            <w:vAlign w:val="center"/>
          </w:tcPr>
          <w:p>
            <w:pPr>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rPr>
        <w:tc>
          <w:tcPr>
            <w:tcW w:w="434" w:type="pct"/>
            <w:vMerge w:val="continue"/>
            <w:shd w:val="clear" w:color="auto" w:fill="auto"/>
            <w:vAlign w:val="center"/>
          </w:tcPr>
          <w:p>
            <w:pPr>
              <w:rPr>
                <w:rFonts w:ascii="Times New Roman" w:hAnsi="Times New Roman" w:eastAsia="仿宋" w:cs="Times New Roman"/>
                <w:sz w:val="20"/>
                <w:szCs w:val="20"/>
              </w:rPr>
            </w:pPr>
          </w:p>
        </w:tc>
        <w:tc>
          <w:tcPr>
            <w:tcW w:w="621" w:type="pct"/>
            <w:vMerge w:val="continue"/>
            <w:shd w:val="clear" w:color="auto" w:fill="auto"/>
            <w:vAlign w:val="center"/>
          </w:tcPr>
          <w:p>
            <w:pPr>
              <w:rPr>
                <w:rFonts w:ascii="Times New Roman" w:hAnsi="Times New Roman" w:eastAsia="仿宋" w:cs="Times New Roman"/>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3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3严格落实规划环评及其批复文件制定的环境风险防范措施。</w:t>
            </w:r>
          </w:p>
        </w:tc>
        <w:tc>
          <w:tcPr>
            <w:tcW w:w="96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34" w:type="pct"/>
            <w:vMerge w:val="continue"/>
            <w:shd w:val="clear" w:color="auto" w:fill="auto"/>
            <w:vAlign w:val="center"/>
          </w:tcPr>
          <w:p>
            <w:pPr>
              <w:jc w:val="left"/>
              <w:rPr>
                <w:rFonts w:ascii="Times New Roman" w:hAnsi="Times New Roman" w:eastAsia="仿宋" w:cs="Times New Roman"/>
                <w:sz w:val="20"/>
                <w:szCs w:val="20"/>
              </w:rPr>
            </w:pPr>
          </w:p>
        </w:tc>
        <w:tc>
          <w:tcPr>
            <w:tcW w:w="621" w:type="pct"/>
            <w:vMerge w:val="continue"/>
            <w:shd w:val="clear" w:color="auto" w:fill="auto"/>
            <w:vAlign w:val="center"/>
          </w:tcPr>
          <w:p>
            <w:pPr>
              <w:jc w:val="left"/>
              <w:rPr>
                <w:rFonts w:ascii="Times New Roman" w:hAnsi="Times New Roman" w:eastAsia="仿宋" w:cs="Times New Roman"/>
                <w:sz w:val="20"/>
                <w:szCs w:val="20"/>
              </w:rPr>
            </w:pPr>
          </w:p>
        </w:tc>
        <w:tc>
          <w:tcPr>
            <w:tcW w:w="38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6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trPr>
        <w:tc>
          <w:tcPr>
            <w:tcW w:w="434"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ZH22032320002</w:t>
            </w:r>
          </w:p>
        </w:tc>
        <w:tc>
          <w:tcPr>
            <w:tcW w:w="621"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伊通县城镇开发边界</w:t>
            </w:r>
          </w:p>
        </w:tc>
        <w:tc>
          <w:tcPr>
            <w:tcW w:w="387"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1.打造绿色农产品供应基地，大力发展绿色有机农业，为长春及周边城市提供优质农产品，提升农业效益。2.打造智能制造产业，突出打造汽车零部件配套基地，紧扣长春产业脉搏，瞄准智能装备、智能产品、智能制造以及汽车零部件产业链上下游产业，主动出击，精准招商，逐步培育壮大成伊通新的产业支撑。3.打造休闲度假旅游基地，积极推进国家全域旅游示范区创建，探索发展旅游新业态，依托优势，大力发展特色游，形成特色旅游品牌。</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w:t>
            </w:r>
            <w:r>
              <w:rPr>
                <w:rFonts w:ascii="Times New Roman" w:hAnsi="Times New Roman" w:eastAsia="仿宋" w:cs="Times New Roman"/>
                <w:kern w:val="0"/>
                <w:sz w:val="20"/>
                <w:szCs w:val="20"/>
              </w:rPr>
              <w:t>《关于开展畜禽养殖禁养区划定工作的通知》《畜禽规模养殖污染防治条例》《吉林省减污降碳协同增效实施方案》《中共吉林省委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trPr>
        <w:tc>
          <w:tcPr>
            <w:tcW w:w="434" w:type="pct"/>
            <w:vMerge w:val="continue"/>
            <w:shd w:val="clear" w:color="auto" w:fill="auto"/>
            <w:vAlign w:val="center"/>
          </w:tcPr>
          <w:p>
            <w:pPr>
              <w:jc w:val="left"/>
              <w:rPr>
                <w:rFonts w:ascii="Times New Roman" w:hAnsi="Times New Roman" w:eastAsia="仿宋" w:cs="Times New Roman"/>
                <w:sz w:val="20"/>
                <w:szCs w:val="20"/>
              </w:rPr>
            </w:pPr>
          </w:p>
        </w:tc>
        <w:tc>
          <w:tcPr>
            <w:tcW w:w="621" w:type="pct"/>
            <w:vMerge w:val="continue"/>
            <w:shd w:val="clear" w:color="auto" w:fill="auto"/>
            <w:vAlign w:val="center"/>
          </w:tcPr>
          <w:p>
            <w:pPr>
              <w:jc w:val="left"/>
              <w:rPr>
                <w:rFonts w:ascii="Times New Roman" w:hAnsi="Times New Roman" w:eastAsia="仿宋" w:cs="Times New Roman"/>
                <w:sz w:val="20"/>
                <w:szCs w:val="20"/>
              </w:rPr>
            </w:pPr>
          </w:p>
        </w:tc>
        <w:tc>
          <w:tcPr>
            <w:tcW w:w="38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63" w:type="pct"/>
            <w:vMerge w:val="continue"/>
            <w:tcBorders>
              <w:left w:val="single" w:color="auto" w:sz="4" w:space="0"/>
              <w:right w:val="single" w:color="auto" w:sz="4" w:space="0"/>
            </w:tcBorders>
            <w:vAlign w:val="center"/>
          </w:tcPr>
          <w:p>
            <w:pPr>
              <w:widowControl/>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34"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p>
        </w:tc>
        <w:tc>
          <w:tcPr>
            <w:tcW w:w="46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trPr>
        <w:tc>
          <w:tcPr>
            <w:tcW w:w="434"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34"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ZH22032320003</w:t>
            </w:r>
          </w:p>
        </w:tc>
        <w:tc>
          <w:tcPr>
            <w:tcW w:w="621"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伊通县大气环境高排放重点管控区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trPr>
        <w:tc>
          <w:tcPr>
            <w:tcW w:w="434"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ZH22032320004</w:t>
            </w:r>
          </w:p>
        </w:tc>
        <w:tc>
          <w:tcPr>
            <w:tcW w:w="621"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伊通县大气环境布局敏感重点管控区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大气环境布局敏感重点管控区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3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2"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3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34"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ZH22032320005</w:t>
            </w:r>
          </w:p>
        </w:tc>
        <w:tc>
          <w:tcPr>
            <w:tcW w:w="621"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伊通县大气环境弱扩散重点管控区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2持续开展“散乱污”企业排查整治。</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3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深入推进秸秆禁烧管控，实行秸秆全域禁烧。加快淘汰老旧车辆；强化道路扬尘控制。实施化肥农药减量增效行动和农膜回收行动；采取积极措施，推进养殖业大气氨减排。</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34"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33"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ZH22032320006</w:t>
            </w:r>
          </w:p>
        </w:tc>
        <w:tc>
          <w:tcPr>
            <w:tcW w:w="621"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伊通县水环境农业污染重点管控区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60"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33" w:type="pct"/>
            <w:tcBorders>
              <w:top w:val="single" w:color="auto" w:sz="8" w:space="0"/>
              <w:left w:val="single" w:color="auto" w:sz="8" w:space="0"/>
              <w:bottom w:val="single" w:color="auto" w:sz="8" w:space="0"/>
              <w:right w:val="single" w:color="auto" w:sz="8"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水环境农业污染重点管控区、建设用地污染风险重点管控区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p>
        </w:tc>
        <w:tc>
          <w:tcPr>
            <w:tcW w:w="460" w:type="pct"/>
            <w:tcBorders>
              <w:top w:val="single" w:color="auto" w:sz="8" w:space="0"/>
              <w:left w:val="single" w:color="auto" w:sz="8" w:space="0"/>
              <w:bottom w:val="single" w:color="auto" w:sz="8" w:space="0"/>
              <w:right w:val="single" w:color="auto" w:sz="8"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33" w:type="pct"/>
            <w:tcBorders>
              <w:top w:val="single" w:color="auto" w:sz="8" w:space="0"/>
              <w:left w:val="single" w:color="auto" w:sz="8" w:space="0"/>
              <w:bottom w:val="single" w:color="auto" w:sz="8" w:space="0"/>
              <w:right w:val="single" w:color="auto" w:sz="8"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ZH22032320007</w:t>
            </w:r>
          </w:p>
        </w:tc>
        <w:tc>
          <w:tcPr>
            <w:tcW w:w="621"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伊通县建设用地污染风险重点管控区</w:t>
            </w:r>
          </w:p>
        </w:tc>
        <w:tc>
          <w:tcPr>
            <w:tcW w:w="38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0"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33"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6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widowControl/>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《污染地块土壤环境管理办法（试行）》《工矿用地土壤环境管理办法（试行）》《中共吉林省委 吉林省人民政府关于深入打好污染防治攻坚战的实施意见》《吉林省土壤环境质量巩固提升行动方案》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p>
        </w:tc>
        <w:tc>
          <w:tcPr>
            <w:tcW w:w="460"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33"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621"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8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p>
        </w:tc>
        <w:tc>
          <w:tcPr>
            <w:tcW w:w="460"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33" w:type="pct"/>
            <w:tcBorders>
              <w:top w:val="single" w:color="auto" w:sz="8" w:space="0"/>
              <w:left w:val="single" w:color="auto" w:sz="8" w:space="0"/>
              <w:bottom w:val="single" w:color="auto" w:sz="8" w:space="0"/>
              <w:right w:val="single" w:color="auto" w:sz="8"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atLeast"/>
        </w:trPr>
        <w:tc>
          <w:tcPr>
            <w:tcW w:w="43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ZH22032330001</w:t>
            </w:r>
          </w:p>
        </w:tc>
        <w:tc>
          <w:tcPr>
            <w:tcW w:w="62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伊通县一般管控区</w:t>
            </w:r>
          </w:p>
        </w:tc>
        <w:tc>
          <w:tcPr>
            <w:tcW w:w="38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6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3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63"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101" w:name="_Toc10971"/>
      <w:r>
        <w:rPr>
          <w:rFonts w:ascii="Times New Roman" w:hAnsi="Times New Roman" w:eastAsia="仿宋" w:cs="Times New Roman"/>
          <w:b/>
          <w:bCs/>
          <w:sz w:val="32"/>
          <w:szCs w:val="32"/>
        </w:rPr>
        <w:t>（二十五） 四平市双辽市生态环境准入清单</w:t>
      </w:r>
      <w:bookmarkEnd w:id="101"/>
    </w:p>
    <w:p>
      <w:pPr>
        <w:jc w:val="center"/>
        <w:rPr>
          <w:rFonts w:ascii="Times New Roman" w:hAnsi="Times New Roman" w:eastAsia="仿宋" w:cs="Times New Roman"/>
          <w:b/>
        </w:rPr>
      </w:pPr>
      <w:r>
        <w:rPr>
          <w:rFonts w:ascii="Times New Roman" w:hAnsi="Times New Roman" w:eastAsia="仿宋" w:cs="Times New Roman"/>
          <w:b/>
        </w:rPr>
        <w:t>表4-25-1四平市双辽市区域特征研判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位于吉林省西南部，四平市西部，地处吉林省西部的东、西辽河汇流区，科尔沁草原边陲，与辽宁东北部、内蒙古东部相毗邻，总面积</w:t>
            </w:r>
            <w:r>
              <w:rPr>
                <w:rFonts w:hint="eastAsia" w:ascii="Times New Roman" w:hAnsi="Times New Roman" w:eastAsia="仿宋" w:cs="Times New Roman"/>
                <w:kern w:val="0"/>
                <w:szCs w:val="21"/>
              </w:rPr>
              <w:t>3097.35</w:t>
            </w:r>
            <w:r>
              <w:rPr>
                <w:rFonts w:ascii="Times New Roman" w:hAnsi="Times New Roman" w:eastAsia="仿宋" w:cs="Times New Roman"/>
                <w:kern w:val="0"/>
                <w:szCs w:val="21"/>
              </w:rPr>
              <w:t>平方公里。辖6个街道12个乡镇。</w:t>
            </w:r>
          </w:p>
          <w:p>
            <w:pPr>
              <w:rPr>
                <w:rFonts w:ascii="Times New Roman" w:hAnsi="Times New Roman" w:eastAsia="仿宋" w:cs="Times New Roman"/>
                <w:szCs w:val="21"/>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kern w:val="0"/>
                <w:szCs w:val="21"/>
              </w:rPr>
              <w:t>依托“一区五链”发展定位，大力发展绿电园区、电力能源、玻璃建材、医药化工、现代农业、流通服务产业，全力打造“一区五链”产业发展新格局。</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kern w:val="0"/>
                <w:szCs w:val="21"/>
              </w:rPr>
              <w:t>水环境质量需要持续改善。</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黑土地资源；双辽白鹤省级自然保护区；吉林双辽一马树省级森林公园；吉林四平架树台湖国家湿地公园等。</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（1）改善区域水环境。</w:t>
            </w:r>
          </w:p>
          <w:p>
            <w:pPr>
              <w:rPr>
                <w:rFonts w:ascii="Times New Roman" w:hAnsi="Times New Roman" w:eastAsia="仿宋" w:cs="Times New Roman"/>
                <w:bCs/>
                <w:szCs w:val="21"/>
              </w:rPr>
            </w:pPr>
            <w:r>
              <w:rPr>
                <w:rFonts w:ascii="Times New Roman" w:hAnsi="Times New Roman" w:eastAsia="仿宋" w:cs="Times New Roman"/>
                <w:bCs/>
                <w:kern w:val="0"/>
                <w:szCs w:val="21"/>
              </w:rPr>
              <w:t>（2）确保人类开发活动不挤占耕地。</w:t>
            </w:r>
          </w:p>
        </w:tc>
      </w:tr>
    </w:tbl>
    <w:p>
      <w:pPr>
        <w:jc w:val="center"/>
        <w:rPr>
          <w:rFonts w:ascii="Times New Roman" w:hAnsi="Times New Roman" w:eastAsia="仿宋" w:cs="Times New Roman"/>
          <w:b/>
          <w:color w:val="FF0000"/>
          <w:kern w:val="0"/>
          <w:sz w:val="24"/>
          <w:szCs w:val="24"/>
        </w:rPr>
      </w:pPr>
      <w:r>
        <w:rPr>
          <w:rFonts w:ascii="Times New Roman" w:hAnsi="Times New Roman" w:eastAsia="仿宋" w:cs="Times New Roman"/>
          <w:b/>
          <w:color w:val="FF0000"/>
          <w:kern w:val="0"/>
          <w:sz w:val="24"/>
          <w:szCs w:val="24"/>
        </w:rPr>
        <w:t xml:space="preserve">  </w:t>
      </w:r>
    </w:p>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表4-25-2  四平市双辽市生态环境准入清单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38"/>
        <w:gridCol w:w="2162"/>
        <w:gridCol w:w="1680"/>
        <w:gridCol w:w="1819"/>
        <w:gridCol w:w="9660"/>
        <w:gridCol w:w="3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1"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7"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3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8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18"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ZH22038210001</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吉林双辽白鹤省级自然保护区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自然保护区、重要湿地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ZH22038210002</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吉林双辽一马树省级森林公园</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2生态保护红线内森林公园执行</w:t>
            </w:r>
            <w:r>
              <w:rPr>
                <w:rFonts w:hint="eastAsia" w:ascii="Times New Roman" w:hAnsi="Times New Roman" w:eastAsia="仿宋" w:cs="Times New Roman"/>
                <w:kern w:val="0"/>
                <w:sz w:val="20"/>
                <w:szCs w:val="20"/>
              </w:rPr>
              <w:t>《国家级自然公园管理办法（试行）》</w:t>
            </w:r>
            <w:r>
              <w:rPr>
                <w:rFonts w:ascii="Times New Roman" w:hAnsi="Times New Roman" w:eastAsia="仿宋" w:cs="Times New Roman"/>
                <w:kern w:val="0"/>
                <w:sz w:val="20"/>
                <w:szCs w:val="20"/>
              </w:rPr>
              <w:t>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ZH22038210003</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吉林四平架树台湖国家湿地公园</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2生态保护红线内湿地公园执行《中华人民共和国湿地保护法》《湿地保护管理规定》</w:t>
            </w:r>
            <w:r>
              <w:rPr>
                <w:rFonts w:hint="eastAsia" w:ascii="Times New Roman" w:hAnsi="Times New Roman" w:eastAsia="仿宋" w:cs="Times New Roman"/>
                <w:kern w:val="0"/>
                <w:sz w:val="20"/>
                <w:szCs w:val="20"/>
              </w:rPr>
              <w:t>《国家级自然公园管理办法（试行）》</w:t>
            </w:r>
            <w:r>
              <w:rPr>
                <w:rFonts w:ascii="Times New Roman" w:hAnsi="Times New Roman" w:eastAsia="仿宋" w:cs="Times New Roman"/>
                <w:kern w:val="0"/>
                <w:sz w:val="20"/>
                <w:szCs w:val="20"/>
              </w:rPr>
              <w:t>《吉林省湿地保护条例》《关于特别是作为水禽栖息地的国际重要湿地公约》相关要求。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r>
              <w:rPr>
                <w:rFonts w:hint="eastAsia" w:ascii="Times New Roman" w:hAnsi="Times New Roman" w:eastAsia="仿宋" w:cs="Times New Roman"/>
                <w:sz w:val="20"/>
                <w:szCs w:val="20"/>
              </w:rPr>
              <w:t>、重要湿地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ZH22038210004</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双辽市黑土地保护区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ZH22038210005</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双辽市防风固沙重要区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2禁止发展高耗水工业。</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 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6</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7</w:t>
            </w:r>
            <w:r>
              <w:rPr>
                <w:rFonts w:ascii="Times New Roman" w:hAnsi="Times New Roman" w:eastAsia="仿宋" w:cs="Times New Roman"/>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8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防风固沙、水土流失、盐渍化、土地沙化、黑土地保护区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ZH22038210006</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双辽市水源涵养功能重要区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rPr>
              <w:t>2</w:t>
            </w:r>
            <w:r>
              <w:rPr>
                <w:rFonts w:ascii="Times New Roman" w:hAnsi="Times New Roman" w:eastAsia="仿宋" w:cs="Times New Roman"/>
                <w:kern w:val="0"/>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0"/>
              </w:rPr>
            </w:pPr>
            <w:r>
              <w:rPr>
                <w:rFonts w:ascii="Times New Roman" w:hAnsi="Times New Roman" w:eastAsia="仿宋" w:cs="Times New Roman"/>
                <w:sz w:val="20"/>
                <w:szCs w:val="20"/>
              </w:rPr>
              <w:t>3禁止各种损害生态系统水源涵养功能的经济社会活动和生产方式，如无序采矿、毁林开荒、湿地和草地开垦、过度放牧等。禁止导致水体污染的产业发展。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0"/>
              </w:rPr>
            </w:pPr>
            <w:r>
              <w:rPr>
                <w:rFonts w:ascii="Times New Roman" w:hAnsi="Times New Roman" w:eastAsia="仿宋" w:cs="Times New Roman"/>
                <w:sz w:val="20"/>
                <w:szCs w:val="20"/>
              </w:rPr>
              <w:t>4禁止发展高耗水工业。</w:t>
            </w:r>
          </w:p>
          <w:p>
            <w:pPr>
              <w:rPr>
                <w:rFonts w:ascii="Times New Roman" w:hAnsi="Times New Roman" w:eastAsia="仿宋" w:cs="Times New Roman"/>
                <w:sz w:val="20"/>
                <w:szCs w:val="20"/>
              </w:rPr>
            </w:pPr>
            <w:r>
              <w:rPr>
                <w:rFonts w:ascii="Times New Roman" w:hAnsi="Times New Roman" w:eastAsia="仿宋" w:cs="Times New Roman"/>
                <w:sz w:val="20"/>
                <w:szCs w:val="20"/>
              </w:rPr>
              <w:t>5禁止在沙化土地上砍挖灌木、药材及其他固沙植物。在沙化土地封禁保护区范围内，禁止一切破坏植被的活动。禁止在沙化土地封禁保护区范围内安置移民。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6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7原则上不再新建各类产业园区，严禁随意扩大现有产业园区范围。以工业为主的产业园区应加快完成园区的循环化改造，鼓励推进低消耗、可循环、少排放的生态型工业区建设。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8</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rPr>
                <w:rFonts w:ascii="Times New Roman" w:hAnsi="Times New Roman" w:eastAsia="仿宋" w:cs="Times New Roman"/>
                <w:szCs w:val="21"/>
              </w:rPr>
            </w:pPr>
            <w:r>
              <w:rPr>
                <w:rFonts w:ascii="Times New Roman" w:hAnsi="Times New Roman" w:eastAsia="仿宋" w:cs="Times New Roman"/>
                <w:sz w:val="20"/>
                <w:szCs w:val="20"/>
              </w:rPr>
              <w:t>9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水源涵养、防风固沙、盐渍化、水土流失、黑土地保护区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ZH22038210007</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双辽市辽河流域水土保持生态功能生态保护红线</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ZH22038210008</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双辽市水土保持生态功能生态保护红线</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ZH2203821009</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双辽市水土流失敏感区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水土流失、盐渍化</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ZH22038210010</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双辽市土地沙化敏感区</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土地沙化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58"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ZH22038210011</w:t>
            </w:r>
          </w:p>
        </w:tc>
        <w:tc>
          <w:tcPr>
            <w:tcW w:w="511"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双辽市其他生态功能生态保护红线</w:t>
            </w:r>
          </w:p>
        </w:tc>
        <w:tc>
          <w:tcPr>
            <w:tcW w:w="39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18"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其他生态功能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trPr>
        <w:tc>
          <w:tcPr>
            <w:tcW w:w="458"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ZH22038220001</w:t>
            </w:r>
          </w:p>
        </w:tc>
        <w:tc>
          <w:tcPr>
            <w:tcW w:w="511"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双辽经济开发区</w:t>
            </w:r>
          </w:p>
        </w:tc>
        <w:tc>
          <w:tcPr>
            <w:tcW w:w="39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2禁止在化工园区外新建、扩建化工项目，未纳入国家《石化产业规划布局方案》的新建炼化项目一律不得建设。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3严格控制高耗水、高污染行业发展。</w:t>
            </w:r>
          </w:p>
        </w:tc>
        <w:tc>
          <w:tcPr>
            <w:tcW w:w="918"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东北地区最大的玻璃建材基地、东北三省区（吉辽蒙）物流中心、全省最大的基础化工原料生产基地。</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化学原料和化学制品制造业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机械零部件及装备制造</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现代农业及食品加工</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医药健康</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新能源产业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资源循环化利用</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玻璃建材</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新型材料</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现代物流及综合服务业</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吉林省“十四五”节能减排综合实施方案》《污染地块土壤环境管理办法（试行）》《工矿用地土壤环境管理办法（试行）》《吉林省新污染物治理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trPr>
        <w:tc>
          <w:tcPr>
            <w:tcW w:w="458" w:type="pct"/>
            <w:vMerge w:val="continue"/>
            <w:shd w:val="clear" w:color="auto" w:fill="auto"/>
            <w:vAlign w:val="center"/>
          </w:tcPr>
          <w:p>
            <w:pPr>
              <w:rPr>
                <w:rFonts w:ascii="Times New Roman" w:hAnsi="Times New Roman" w:eastAsia="仿宋" w:cs="Times New Roman"/>
                <w:sz w:val="20"/>
                <w:szCs w:val="20"/>
              </w:rPr>
            </w:pPr>
          </w:p>
        </w:tc>
        <w:tc>
          <w:tcPr>
            <w:tcW w:w="511" w:type="pct"/>
            <w:vMerge w:val="continue"/>
            <w:shd w:val="clear" w:color="auto" w:fill="auto"/>
            <w:vAlign w:val="center"/>
          </w:tcPr>
          <w:p>
            <w:pPr>
              <w:rPr>
                <w:rFonts w:ascii="Times New Roman" w:hAnsi="Times New Roman" w:eastAsia="仿宋" w:cs="Times New Roman"/>
                <w:sz w:val="20"/>
                <w:szCs w:val="20"/>
              </w:rPr>
            </w:pPr>
          </w:p>
        </w:tc>
        <w:tc>
          <w:tcPr>
            <w:tcW w:w="397"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3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4执行《吉林省新污染物治理实施方案》相关要求，加强新污染物多环境介质协同治理，全面强化清洁生产和绿色制造。</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trPr>
        <w:tc>
          <w:tcPr>
            <w:tcW w:w="458" w:type="pct"/>
            <w:vMerge w:val="continue"/>
            <w:shd w:val="clear" w:color="auto" w:fill="auto"/>
            <w:vAlign w:val="center"/>
          </w:tcPr>
          <w:p>
            <w:pPr>
              <w:widowControl/>
              <w:rPr>
                <w:rFonts w:ascii="Times New Roman" w:hAnsi="Times New Roman" w:eastAsia="仿宋" w:cs="Times New Roman"/>
                <w:sz w:val="20"/>
                <w:szCs w:val="20"/>
              </w:rPr>
            </w:pPr>
          </w:p>
        </w:tc>
        <w:tc>
          <w:tcPr>
            <w:tcW w:w="511" w:type="pct"/>
            <w:vMerge w:val="continue"/>
            <w:shd w:val="clear" w:color="auto" w:fill="auto"/>
            <w:vAlign w:val="center"/>
          </w:tcPr>
          <w:p>
            <w:pPr>
              <w:widowControl/>
              <w:rPr>
                <w:rFonts w:ascii="Times New Roman" w:hAnsi="Times New Roman" w:eastAsia="仿宋" w:cs="Times New Roman"/>
                <w:sz w:val="20"/>
                <w:szCs w:val="20"/>
              </w:rPr>
            </w:pPr>
          </w:p>
        </w:tc>
        <w:tc>
          <w:tcPr>
            <w:tcW w:w="397" w:type="pct"/>
            <w:vMerge w:val="continue"/>
            <w:tcBorders>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4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trPr>
        <w:tc>
          <w:tcPr>
            <w:tcW w:w="458" w:type="pct"/>
            <w:vMerge w:val="continue"/>
            <w:shd w:val="clear" w:color="auto" w:fill="auto"/>
            <w:vAlign w:val="center"/>
          </w:tcPr>
          <w:p>
            <w:pPr>
              <w:widowControl/>
              <w:rPr>
                <w:rFonts w:ascii="Times New Roman" w:hAnsi="Times New Roman" w:eastAsia="仿宋" w:cs="Times New Roman"/>
                <w:kern w:val="0"/>
                <w:sz w:val="20"/>
                <w:szCs w:val="20"/>
              </w:rPr>
            </w:pPr>
          </w:p>
        </w:tc>
        <w:tc>
          <w:tcPr>
            <w:tcW w:w="511" w:type="pct"/>
            <w:vMerge w:val="continue"/>
            <w:shd w:val="clear" w:color="auto" w:fill="auto"/>
            <w:vAlign w:val="center"/>
          </w:tcPr>
          <w:p>
            <w:pPr>
              <w:widowControl/>
              <w:rPr>
                <w:rFonts w:ascii="Times New Roman" w:hAnsi="Times New Roman" w:eastAsia="仿宋" w:cs="Times New Roman"/>
                <w:kern w:val="0"/>
                <w:sz w:val="20"/>
                <w:szCs w:val="20"/>
              </w:rPr>
            </w:pPr>
          </w:p>
        </w:tc>
        <w:tc>
          <w:tcPr>
            <w:tcW w:w="397" w:type="pct"/>
            <w:vMerge w:val="continue"/>
            <w:tcBorders>
              <w:right w:val="single" w:color="auto" w:sz="4" w:space="0"/>
            </w:tcBorders>
            <w:shd w:val="clear" w:color="auto" w:fill="auto"/>
            <w:vAlign w:val="center"/>
          </w:tcPr>
          <w:p>
            <w:pPr>
              <w:widowControl/>
              <w:rPr>
                <w:rFonts w:ascii="Times New Roman" w:hAnsi="Times New Roman" w:eastAsia="仿宋" w:cs="Times New Roman"/>
                <w:kern w:val="0"/>
                <w:sz w:val="20"/>
                <w:szCs w:val="20"/>
              </w:rPr>
            </w:pPr>
          </w:p>
        </w:tc>
        <w:tc>
          <w:tcPr>
            <w:tcW w:w="4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3促进再生水的利用。加强工业节水及循环利用、促进城镇节水、加大农业节水力度；在优先保障生活取水和生态用水的前提下，严格按照用水总量控制红线，控制工业和农业生产取水量。</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restar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ZH22038220002</w:t>
            </w:r>
          </w:p>
        </w:tc>
        <w:tc>
          <w:tcPr>
            <w:tcW w:w="511" w:type="pct"/>
            <w:vMerge w:val="restar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双辽市城镇开发边界</w:t>
            </w:r>
          </w:p>
        </w:tc>
        <w:tc>
          <w:tcPr>
            <w:tcW w:w="397"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tc>
        <w:tc>
          <w:tcPr>
            <w:tcW w:w="918" w:type="pct"/>
            <w:vMerge w:val="restart"/>
            <w:tcBorders>
              <w:left w:val="single" w:color="auto" w:sz="4" w:space="0"/>
              <w:right w:val="single" w:color="auto" w:sz="4" w:space="0"/>
            </w:tcBorders>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服务市域西部，沟通四平与蒙东地区联系的副中心城市，以电力、建材、交通和商贸物流为主要基本职能。随着交通区位的显著提升，物流职能是双辽的重点发展领域</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基于“三线”研究成果提出，结合《关于开展畜禽养殖禁养区划定工作的通知》《畜禽规模养殖污染防治条例》《吉林省减污降碳协同增效实施方案》《中共吉林省委 吉林省人民政府关于深入打好污染防治攻坚战的实施意见》《污染地块土壤环境管理办法（试行）》《工矿用地土壤环境管理办法（试行）》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continue"/>
            <w:shd w:val="clear" w:color="auto" w:fill="auto"/>
            <w:vAlign w:val="center"/>
          </w:tcPr>
          <w:p>
            <w:pPr>
              <w:jc w:val="left"/>
              <w:rPr>
                <w:rFonts w:ascii="Times New Roman" w:hAnsi="Times New Roman" w:eastAsia="仿宋" w:cs="Times New Roman"/>
                <w:sz w:val="20"/>
                <w:szCs w:val="20"/>
              </w:rPr>
            </w:pPr>
          </w:p>
        </w:tc>
        <w:tc>
          <w:tcPr>
            <w:tcW w:w="511" w:type="pct"/>
            <w:vMerge w:val="continue"/>
            <w:shd w:val="clear" w:color="auto" w:fill="auto"/>
            <w:vAlign w:val="center"/>
          </w:tcPr>
          <w:p>
            <w:pPr>
              <w:jc w:val="left"/>
              <w:rPr>
                <w:rFonts w:ascii="Times New Roman" w:hAnsi="Times New Roman" w:eastAsia="仿宋" w:cs="Times New Roman"/>
                <w:sz w:val="20"/>
                <w:szCs w:val="20"/>
              </w:rPr>
            </w:pPr>
          </w:p>
        </w:tc>
        <w:tc>
          <w:tcPr>
            <w:tcW w:w="39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3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continue"/>
          </w:tcPr>
          <w:p>
            <w:pPr>
              <w:jc w:val="left"/>
              <w:rPr>
                <w:rFonts w:ascii="Times New Roman" w:hAnsi="Times New Roman" w:eastAsia="仿宋" w:cs="Times New Roman"/>
                <w:sz w:val="20"/>
                <w:szCs w:val="20"/>
              </w:rPr>
            </w:pPr>
          </w:p>
        </w:tc>
        <w:tc>
          <w:tcPr>
            <w:tcW w:w="511" w:type="pct"/>
            <w:vMerge w:val="continue"/>
          </w:tcPr>
          <w:p>
            <w:pPr>
              <w:jc w:val="left"/>
              <w:rPr>
                <w:rFonts w:ascii="Times New Roman" w:hAnsi="Times New Roman" w:eastAsia="仿宋" w:cs="Times New Roman"/>
                <w:sz w:val="20"/>
                <w:szCs w:val="20"/>
              </w:rPr>
            </w:pPr>
          </w:p>
        </w:tc>
        <w:tc>
          <w:tcPr>
            <w:tcW w:w="397" w:type="pct"/>
            <w:vMerge w:val="continue"/>
            <w:tcBorders>
              <w:right w:val="single" w:color="auto" w:sz="4" w:space="0"/>
            </w:tcBorders>
          </w:tcPr>
          <w:p>
            <w:pPr>
              <w:jc w:val="left"/>
              <w:rPr>
                <w:rFonts w:ascii="Times New Roman" w:hAnsi="Times New Roman" w:eastAsia="仿宋" w:cs="Times New Roman"/>
                <w:sz w:val="20"/>
                <w:szCs w:val="20"/>
              </w:rPr>
            </w:pPr>
          </w:p>
        </w:tc>
        <w:tc>
          <w:tcPr>
            <w:tcW w:w="430" w:type="pct"/>
            <w:vAlign w:val="center"/>
          </w:tcPr>
          <w:p>
            <w:pPr>
              <w:jc w:val="center"/>
              <w:rPr>
                <w:rFonts w:ascii="Times New Roman" w:hAnsi="Times New Roman" w:eastAsia="仿宋" w:cs="Times New Roman"/>
                <w:kern w:val="0"/>
                <w:sz w:val="20"/>
                <w:szCs w:val="20"/>
              </w:rPr>
            </w:pPr>
            <w:r>
              <w:rPr>
                <w:rFonts w:ascii="Times New Roman" w:hAnsi="Times New Roman" w:eastAsia="仿宋" w:cs="Times New Roman"/>
                <w:sz w:val="20"/>
                <w:szCs w:val="21"/>
              </w:rPr>
              <w:t>环境风险防控</w:t>
            </w:r>
          </w:p>
        </w:tc>
        <w:tc>
          <w:tcPr>
            <w:tcW w:w="2283" w:type="pct"/>
            <w:tcBorders>
              <w:right w:val="single" w:color="auto" w:sz="4" w:space="0"/>
            </w:tcBorders>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continue"/>
          </w:tcPr>
          <w:p>
            <w:pPr>
              <w:jc w:val="left"/>
              <w:rPr>
                <w:rFonts w:ascii="Times New Roman" w:hAnsi="Times New Roman" w:eastAsia="仿宋" w:cs="Times New Roman"/>
                <w:sz w:val="20"/>
                <w:szCs w:val="20"/>
              </w:rPr>
            </w:pPr>
          </w:p>
        </w:tc>
        <w:tc>
          <w:tcPr>
            <w:tcW w:w="511" w:type="pct"/>
            <w:vMerge w:val="continue"/>
          </w:tcPr>
          <w:p>
            <w:pPr>
              <w:jc w:val="left"/>
              <w:rPr>
                <w:rFonts w:ascii="Times New Roman" w:hAnsi="Times New Roman" w:eastAsia="仿宋" w:cs="Times New Roman"/>
                <w:sz w:val="20"/>
                <w:szCs w:val="20"/>
              </w:rPr>
            </w:pPr>
          </w:p>
        </w:tc>
        <w:tc>
          <w:tcPr>
            <w:tcW w:w="397" w:type="pct"/>
            <w:vMerge w:val="continue"/>
            <w:tcBorders>
              <w:right w:val="single" w:color="auto" w:sz="4" w:space="0"/>
            </w:tcBorders>
          </w:tcPr>
          <w:p>
            <w:pPr>
              <w:jc w:val="left"/>
              <w:rPr>
                <w:rFonts w:ascii="Times New Roman" w:hAnsi="Times New Roman" w:eastAsia="仿宋" w:cs="Times New Roman"/>
                <w:sz w:val="20"/>
                <w:szCs w:val="20"/>
              </w:rPr>
            </w:pPr>
          </w:p>
        </w:tc>
        <w:tc>
          <w:tcPr>
            <w:tcW w:w="43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除在安全或者产业布局等方面有特殊要求的项目外，应严格控制新建、扩建采用高污染燃料的项目和设施。</w:t>
            </w:r>
          </w:p>
        </w:tc>
        <w:tc>
          <w:tcPr>
            <w:tcW w:w="918"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58"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ZH22038220003</w:t>
            </w:r>
          </w:p>
        </w:tc>
        <w:tc>
          <w:tcPr>
            <w:tcW w:w="511"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双辽市大气环境高排放重点管控区</w:t>
            </w:r>
          </w:p>
        </w:tc>
        <w:tc>
          <w:tcPr>
            <w:tcW w:w="397" w:type="pct"/>
            <w:vMerge w:val="restart"/>
            <w:tcBorders>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3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8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18"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trPr>
        <w:tc>
          <w:tcPr>
            <w:tcW w:w="458" w:type="pct"/>
            <w:vMerge w:val="continue"/>
            <w:vAlign w:val="center"/>
          </w:tcPr>
          <w:p>
            <w:pPr>
              <w:rPr>
                <w:rFonts w:ascii="Times New Roman" w:hAnsi="Times New Roman" w:eastAsia="仿宋" w:cs="Times New Roman"/>
                <w:color w:val="FF0000"/>
                <w:sz w:val="20"/>
                <w:szCs w:val="20"/>
              </w:rPr>
            </w:pPr>
          </w:p>
        </w:tc>
        <w:tc>
          <w:tcPr>
            <w:tcW w:w="511" w:type="pct"/>
            <w:vMerge w:val="continue"/>
            <w:vAlign w:val="center"/>
          </w:tcPr>
          <w:p>
            <w:pPr>
              <w:rPr>
                <w:rFonts w:ascii="Times New Roman" w:hAnsi="Times New Roman" w:eastAsia="仿宋" w:cs="Times New Roman"/>
                <w:color w:val="FF0000"/>
                <w:sz w:val="20"/>
                <w:szCs w:val="20"/>
              </w:rPr>
            </w:pPr>
          </w:p>
        </w:tc>
        <w:tc>
          <w:tcPr>
            <w:tcW w:w="397" w:type="pct"/>
            <w:vMerge w:val="continue"/>
            <w:tcBorders>
              <w:right w:val="single" w:color="auto" w:sz="4" w:space="0"/>
            </w:tcBorders>
            <w:vAlign w:val="center"/>
          </w:tcPr>
          <w:p>
            <w:pPr>
              <w:jc w:val="left"/>
              <w:rPr>
                <w:rFonts w:ascii="Times New Roman" w:hAnsi="Times New Roman" w:eastAsia="仿宋" w:cs="Times New Roman"/>
                <w:color w:val="FF0000"/>
                <w:kern w:val="0"/>
                <w:sz w:val="20"/>
                <w:szCs w:val="20"/>
              </w:rPr>
            </w:pPr>
          </w:p>
        </w:tc>
        <w:tc>
          <w:tcPr>
            <w:tcW w:w="43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18"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58" w:type="pct"/>
            <w:vMerge w:val="continue"/>
          </w:tcPr>
          <w:p>
            <w:pPr>
              <w:jc w:val="left"/>
              <w:rPr>
                <w:rFonts w:ascii="Times New Roman" w:hAnsi="Times New Roman" w:eastAsia="仿宋" w:cs="Times New Roman"/>
                <w:color w:val="FF0000"/>
                <w:sz w:val="20"/>
                <w:szCs w:val="20"/>
              </w:rPr>
            </w:pPr>
          </w:p>
        </w:tc>
        <w:tc>
          <w:tcPr>
            <w:tcW w:w="511" w:type="pct"/>
            <w:vMerge w:val="continue"/>
          </w:tcPr>
          <w:p>
            <w:pPr>
              <w:jc w:val="left"/>
              <w:rPr>
                <w:rFonts w:ascii="Times New Roman" w:hAnsi="Times New Roman" w:eastAsia="仿宋" w:cs="Times New Roman"/>
                <w:color w:val="FF0000"/>
                <w:sz w:val="20"/>
                <w:szCs w:val="20"/>
              </w:rPr>
            </w:pPr>
          </w:p>
        </w:tc>
        <w:tc>
          <w:tcPr>
            <w:tcW w:w="397" w:type="pct"/>
            <w:vMerge w:val="continue"/>
            <w:tcBorders>
              <w:right w:val="single" w:color="auto" w:sz="4" w:space="0"/>
            </w:tcBorders>
            <w:vAlign w:val="center"/>
          </w:tcPr>
          <w:p>
            <w:pPr>
              <w:jc w:val="left"/>
              <w:rPr>
                <w:rFonts w:ascii="Times New Roman" w:hAnsi="Times New Roman" w:eastAsia="仿宋" w:cs="Times New Roman"/>
                <w:color w:val="FF0000"/>
                <w:sz w:val="20"/>
                <w:szCs w:val="20"/>
              </w:rPr>
            </w:pPr>
          </w:p>
        </w:tc>
        <w:tc>
          <w:tcPr>
            <w:tcW w:w="43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83" w:type="pct"/>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8" w:type="pct"/>
            <w:vMerge w:val="continue"/>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trPr>
        <w:tc>
          <w:tcPr>
            <w:tcW w:w="458" w:type="pct"/>
            <w:vMerge w:val="continue"/>
          </w:tcPr>
          <w:p>
            <w:pPr>
              <w:jc w:val="left"/>
              <w:rPr>
                <w:rFonts w:ascii="Times New Roman" w:hAnsi="Times New Roman" w:eastAsia="仿宋" w:cs="Times New Roman"/>
                <w:color w:val="FF0000"/>
                <w:sz w:val="20"/>
                <w:szCs w:val="20"/>
              </w:rPr>
            </w:pPr>
          </w:p>
        </w:tc>
        <w:tc>
          <w:tcPr>
            <w:tcW w:w="511" w:type="pct"/>
            <w:vMerge w:val="continue"/>
          </w:tcPr>
          <w:p>
            <w:pPr>
              <w:jc w:val="left"/>
              <w:rPr>
                <w:rFonts w:ascii="Times New Roman" w:hAnsi="Times New Roman" w:eastAsia="仿宋" w:cs="Times New Roman"/>
                <w:color w:val="FF0000"/>
                <w:sz w:val="20"/>
                <w:szCs w:val="20"/>
              </w:rPr>
            </w:pPr>
          </w:p>
        </w:tc>
        <w:tc>
          <w:tcPr>
            <w:tcW w:w="397" w:type="pct"/>
            <w:vMerge w:val="continue"/>
            <w:tcBorders>
              <w:right w:val="single" w:color="auto" w:sz="4" w:space="0"/>
            </w:tcBorders>
            <w:vAlign w:val="center"/>
          </w:tcPr>
          <w:p>
            <w:pPr>
              <w:jc w:val="left"/>
              <w:rPr>
                <w:rFonts w:ascii="Times New Roman" w:hAnsi="Times New Roman" w:eastAsia="仿宋" w:cs="Times New Roman"/>
                <w:color w:val="FF0000"/>
                <w:sz w:val="20"/>
                <w:szCs w:val="20"/>
              </w:rPr>
            </w:pPr>
          </w:p>
        </w:tc>
        <w:tc>
          <w:tcPr>
            <w:tcW w:w="43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8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18" w:type="pct"/>
            <w:vMerge w:val="continue"/>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ZH22038220004</w:t>
            </w:r>
          </w:p>
        </w:tc>
        <w:tc>
          <w:tcPr>
            <w:tcW w:w="51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双辽市水环境农业污染重点管控区</w:t>
            </w:r>
          </w:p>
        </w:tc>
        <w:tc>
          <w:tcPr>
            <w:tcW w:w="397" w:type="pct"/>
            <w:tcBorders>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1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restar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ZH22038220005</w:t>
            </w:r>
          </w:p>
        </w:tc>
        <w:tc>
          <w:tcPr>
            <w:tcW w:w="511" w:type="pct"/>
            <w:vMerge w:val="restar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双辽市水环境风险重点管控区</w:t>
            </w:r>
          </w:p>
        </w:tc>
        <w:tc>
          <w:tcPr>
            <w:tcW w:w="397" w:type="pct"/>
            <w:vMerge w:val="restart"/>
            <w:tcBorders>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sz w:val="20"/>
                <w:szCs w:val="20"/>
              </w:rPr>
              <w:t>污染物排放管控</w:t>
            </w:r>
          </w:p>
        </w:tc>
        <w:tc>
          <w:tcPr>
            <w:tcW w:w="228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1研究建立统筹水环境、水资源和水生态监测评价体系，对重要江河湖库开展水生态环境评价预警。</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2建设和完善城乡污水处理设施及配套管网工程，定期排查和不定期抽查工业企业排污情况。加强污水管网提升改造建设，提高城镇生活污水集中处理率。</w:t>
            </w:r>
          </w:p>
        </w:tc>
        <w:tc>
          <w:tcPr>
            <w:tcW w:w="918"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水环境风险重点管控区、建设用地污染风险重点管控区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基于“三线”研究成果提出，《吉林省“十四五” 重点流域水生态环境保护规划》《污染地块土壤环境管理办法（试行）》《工矿用地土壤环境管理办法（试行）》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Merge w:val="continue"/>
            <w:vAlign w:val="center"/>
          </w:tcPr>
          <w:p>
            <w:pPr>
              <w:jc w:val="left"/>
              <w:rPr>
                <w:rFonts w:ascii="Times New Roman" w:hAnsi="Times New Roman" w:eastAsia="仿宋" w:cs="Times New Roman"/>
                <w:sz w:val="20"/>
                <w:szCs w:val="20"/>
              </w:rPr>
            </w:pPr>
          </w:p>
        </w:tc>
        <w:tc>
          <w:tcPr>
            <w:tcW w:w="511" w:type="pct"/>
            <w:vMerge w:val="continue"/>
            <w:vAlign w:val="center"/>
          </w:tcPr>
          <w:p>
            <w:pPr>
              <w:jc w:val="left"/>
              <w:rPr>
                <w:rFonts w:ascii="Times New Roman" w:hAnsi="Times New Roman" w:eastAsia="仿宋" w:cs="Times New Roman"/>
                <w:sz w:val="20"/>
                <w:szCs w:val="20"/>
              </w:rPr>
            </w:pPr>
          </w:p>
        </w:tc>
        <w:tc>
          <w:tcPr>
            <w:tcW w:w="397" w:type="pct"/>
            <w:vMerge w:val="continue"/>
            <w:tcBorders>
              <w:right w:val="single" w:color="auto" w:sz="4" w:space="0"/>
            </w:tcBorders>
            <w:vAlign w:val="center"/>
          </w:tcPr>
          <w:p>
            <w:pPr>
              <w:widowControl/>
              <w:jc w:val="left"/>
              <w:rPr>
                <w:rFonts w:ascii="Times New Roman" w:hAnsi="Times New Roman" w:eastAsia="仿宋" w:cs="Times New Roman"/>
                <w:sz w:val="20"/>
                <w:szCs w:val="20"/>
              </w:rPr>
            </w:pPr>
          </w:p>
        </w:tc>
        <w:tc>
          <w:tcPr>
            <w:tcW w:w="43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83"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vAlign w:val="center"/>
          </w:tcPr>
          <w:p>
            <w:pPr>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trPr>
        <w:tc>
          <w:tcPr>
            <w:tcW w:w="458"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ZH22038230001</w:t>
            </w:r>
          </w:p>
        </w:tc>
        <w:tc>
          <w:tcPr>
            <w:tcW w:w="511"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双辽区一般管控区</w:t>
            </w:r>
          </w:p>
        </w:tc>
        <w:tc>
          <w:tcPr>
            <w:tcW w:w="397" w:type="pct"/>
            <w:tcBorders>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3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83"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8"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102" w:name="_Toc27535"/>
      <w:r>
        <w:rPr>
          <w:rFonts w:ascii="Times New Roman" w:hAnsi="Times New Roman" w:eastAsia="仿宋" w:cs="Times New Roman"/>
          <w:b/>
          <w:bCs/>
          <w:sz w:val="32"/>
          <w:szCs w:val="32"/>
        </w:rPr>
        <w:t>（二十六）辽源市龙山区生态环境准入清单</w:t>
      </w:r>
      <w:bookmarkEnd w:id="102"/>
    </w:p>
    <w:p>
      <w:pPr>
        <w:jc w:val="center"/>
        <w:rPr>
          <w:rFonts w:ascii="Times New Roman" w:hAnsi="Times New Roman" w:eastAsia="仿宋" w:cs="Times New Roman"/>
          <w:b/>
        </w:rPr>
      </w:pPr>
      <w:r>
        <w:rPr>
          <w:rFonts w:ascii="Times New Roman" w:hAnsi="Times New Roman" w:eastAsia="仿宋" w:cs="Times New Roman"/>
          <w:b/>
        </w:rPr>
        <w:t>表4-26-1 辽源市龙山区区域特征研判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1.《吉林省主体功能区规划》中的重点开发区域。</w:t>
            </w:r>
          </w:p>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2. 位于吉林省中南部，东辽河上游，地处长白山系老爷岭余脉与西部松辽平原的过渡带，总面积257平方公里。辖8个街道2个乡镇。</w:t>
            </w: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FF0000"/>
                <w:kern w:val="0"/>
                <w:szCs w:val="21"/>
              </w:rPr>
            </w:pPr>
            <w:r>
              <w:rPr>
                <w:rFonts w:ascii="Times New Roman" w:hAnsi="Times New Roman" w:eastAsia="仿宋" w:cs="Times New Roman"/>
                <w:szCs w:val="21"/>
              </w:rPr>
              <w:t>发展新材料、新能源、医药健康、纺织袜业等接续工业，推进旅游、康养、金融、物流、电商、科技服务、现代商贸等服务业重点领域发展，完善城镇基础设施，提升产业集聚能力和经济带动能力，坚持可持续发展，建设以清洁能源、高精铝加工、农产品加工、时尚纺织、装备制造、汽车零部件和新型建材为主的吉林中南部重要的新型工业基地。</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人居安全、杨木水库</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（1）控制建设用地总规模。</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表4-26-2  辽源市龙山区生态环境准入清单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88"/>
        <w:gridCol w:w="2217"/>
        <w:gridCol w:w="1633"/>
        <w:gridCol w:w="1899"/>
        <w:gridCol w:w="9471"/>
        <w:gridCol w:w="39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2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6"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49"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39"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0"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ZH22040210001</w:t>
            </w:r>
          </w:p>
        </w:tc>
        <w:tc>
          <w:tcPr>
            <w:tcW w:w="52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杨木水库生活饮用水水源保护区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7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ZH22040210002</w:t>
            </w:r>
          </w:p>
        </w:tc>
        <w:tc>
          <w:tcPr>
            <w:tcW w:w="52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杨木水库生活饮用水水源保护区</w:t>
            </w:r>
          </w:p>
        </w:tc>
        <w:tc>
          <w:tcPr>
            <w:tcW w:w="38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Cs w:val="21"/>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ZH22040210003</w:t>
            </w:r>
          </w:p>
        </w:tc>
        <w:tc>
          <w:tcPr>
            <w:tcW w:w="52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龙山区辽河流域水土保持生态功能生态保护红线</w:t>
            </w:r>
          </w:p>
        </w:tc>
        <w:tc>
          <w:tcPr>
            <w:tcW w:w="386" w:type="pct"/>
            <w:tcBorders>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sz w:val="20"/>
                <w:szCs w:val="20"/>
              </w:rPr>
              <w:t>1-优先保护</w:t>
            </w:r>
          </w:p>
        </w:tc>
        <w:tc>
          <w:tcPr>
            <w:tcW w:w="44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color w:val="FF0000"/>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ZH22040210004</w:t>
            </w:r>
          </w:p>
        </w:tc>
        <w:tc>
          <w:tcPr>
            <w:tcW w:w="52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龙山区水土保持功能生态保护红线</w:t>
            </w:r>
          </w:p>
        </w:tc>
        <w:tc>
          <w:tcPr>
            <w:tcW w:w="386" w:type="pct"/>
            <w:tcBorders>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sz w:val="20"/>
                <w:szCs w:val="20"/>
              </w:rPr>
              <w:t>1-优先保护</w:t>
            </w:r>
          </w:p>
        </w:tc>
        <w:tc>
          <w:tcPr>
            <w:tcW w:w="44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b/>
                <w:color w:val="FF0000"/>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ZH22040210005</w:t>
            </w:r>
          </w:p>
        </w:tc>
        <w:tc>
          <w:tcPr>
            <w:tcW w:w="52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龙山区水土保持功能重要区</w:t>
            </w:r>
          </w:p>
        </w:tc>
        <w:tc>
          <w:tcPr>
            <w:tcW w:w="38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9"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30"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ZH22040220001</w:t>
            </w:r>
          </w:p>
        </w:tc>
        <w:tc>
          <w:tcPr>
            <w:tcW w:w="52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辽源龙山工业开发区</w:t>
            </w:r>
          </w:p>
        </w:tc>
        <w:tc>
          <w:tcPr>
            <w:tcW w:w="386"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1《产业结构调整指导目录》中的“淘汰类”项目；严格限制《产业结构调整指导目录》中的“限制类”项目入区。</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2《外商投资产业指导目录》中禁止外商投资的项目；严格限制《外商投资产业指导目录》中限制外商投资的项目入区。</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3限制排放重金属污染物的项目入区。</w:t>
            </w:r>
          </w:p>
        </w:tc>
        <w:tc>
          <w:tcPr>
            <w:tcW w:w="930"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将龙山开发区打造成为辽源市实现新型工业化的重要引擎，先进生产力和综合竞争力的重要载体，经济社会发展最具活力、最具潜力的重要增长极。</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主要发展高端制造业、环保节能业、农副食品加工、电子信息业、生物科技等。</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园区规划环评、《企业事业单位突发环境事件应急预案备案管理办法（试行）》《吉林省空气质量巩固提升行动方案》《吉林省“十四五”节能减排综合实施方案》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bCs/>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sz w:val="20"/>
                <w:szCs w:val="20"/>
              </w:rPr>
              <w:t>重点行业污染治理升级改造，推进各类园区循环化改造；强化堆场扬尘控制。</w:t>
            </w:r>
          </w:p>
          <w:p>
            <w:pPr>
              <w:widowControl/>
              <w:rPr>
                <w:rFonts w:ascii="Times New Roman" w:hAnsi="Times New Roman" w:eastAsia="仿宋" w:cs="Times New Roman"/>
                <w:bCs/>
                <w:sz w:val="20"/>
                <w:szCs w:val="20"/>
              </w:rPr>
            </w:pPr>
            <w:r>
              <w:rPr>
                <w:rFonts w:ascii="Times New Roman" w:hAnsi="Times New Roman" w:eastAsia="仿宋" w:cs="Times New Roman"/>
                <w:bCs/>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tcBorders>
              <w:left w:val="single" w:color="auto" w:sz="4" w:space="0"/>
              <w:right w:val="single" w:color="auto" w:sz="4" w:space="0"/>
            </w:tcBorders>
            <w:vAlign w:val="center"/>
          </w:tcPr>
          <w:p>
            <w:pPr>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3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1园区应制定环境风险应急预案，成立应急组织机构，定期开展应急演练，提高区域环境风险防范能力。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30" w:type="pct"/>
            <w:vMerge w:val="continue"/>
            <w:tcBorders>
              <w:left w:val="single" w:color="auto" w:sz="4" w:space="0"/>
              <w:right w:val="single" w:color="auto" w:sz="4" w:space="0"/>
            </w:tcBorders>
            <w:vAlign w:val="center"/>
          </w:tcPr>
          <w:p>
            <w:pPr>
              <w:widowControl/>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1推广园区集中供热，园区新建供热设施执行特别排放限值</w:t>
            </w:r>
            <w:r>
              <w:rPr>
                <w:rFonts w:hint="eastAsia" w:ascii="Times New Roman" w:hAnsi="Times New Roman" w:eastAsia="仿宋" w:cs="Times New Roman"/>
                <w:sz w:val="20"/>
                <w:szCs w:val="20"/>
              </w:rPr>
              <w:t>或按省、市相关文件要求执行排放浓度限值</w:t>
            </w:r>
            <w:r>
              <w:rPr>
                <w:rFonts w:ascii="Times New Roman" w:hAnsi="Times New Roman" w:eastAsia="仿宋" w:cs="Times New Roman"/>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30" w:type="pct"/>
            <w:vMerge w:val="continue"/>
            <w:tcBorders>
              <w:left w:val="single" w:color="auto" w:sz="4" w:space="0"/>
              <w:right w:val="single" w:color="auto" w:sz="4" w:space="0"/>
            </w:tcBorders>
            <w:vAlign w:val="center"/>
          </w:tcPr>
          <w:p>
            <w:pPr>
              <w:widowControl/>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ZH22040220002</w:t>
            </w:r>
          </w:p>
        </w:tc>
        <w:tc>
          <w:tcPr>
            <w:tcW w:w="52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吉林辽源高新技术产业开发区</w:t>
            </w:r>
          </w:p>
        </w:tc>
        <w:tc>
          <w:tcPr>
            <w:tcW w:w="386"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30" w:type="pct"/>
            <w:vMerge w:val="restart"/>
            <w:tcBorders>
              <w:left w:val="single" w:color="auto" w:sz="4" w:space="0"/>
              <w:right w:val="single" w:color="auto" w:sz="4" w:space="0"/>
            </w:tcBorders>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大气环境高排放重点管控区、水环境工业污染重点管控区、高污染燃料禁燃区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辽源强势产业发展的重要载体、对外开放的重要“窗口”、引领辽源经济快跑的“火车头”</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装备制造、新型材料、医药健康、纺织袜业、商贸物流、精细化工、新能源产业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《企业事业单位突发环境事件应急预案备案管理办法（试行）》《中共吉林省委 吉林省人民政府关于深入打好污染防治攻坚战的实施意见》《吉林省减污降碳协同增效实施方案》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1严格落实规划环评及其批复文件制定的环境风险防范措施。</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2开发区应</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3开发区应制定环境风险应急预案，成立应急组织机构，定期开展应急演练，提高区域环境风险防范能力。</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shd w:val="clear" w:color="auto" w:fill="auto"/>
            <w:vAlign w:val="center"/>
          </w:tcPr>
          <w:p>
            <w:pPr>
              <w:rPr>
                <w:rFonts w:ascii="Times New Roman" w:hAnsi="Times New Roman" w:eastAsia="仿宋" w:cs="Times New Roman"/>
                <w:sz w:val="20"/>
                <w:szCs w:val="20"/>
              </w:rPr>
            </w:pPr>
          </w:p>
        </w:tc>
        <w:tc>
          <w:tcPr>
            <w:tcW w:w="524" w:type="pct"/>
            <w:vMerge w:val="continue"/>
            <w:shd w:val="clear" w:color="auto" w:fill="auto"/>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1完成吉林省下达的产能置换要求。各产业执行对应的清洁生产标准。</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3积极推进区内供热（汽）管网建设，尽快实现开发区集中供热。在实现开发区集中供热之前，应采用电加热或清洁能源作为过渡热源。园区新建供热设施执行特别排放限值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ZH22040220003</w:t>
            </w:r>
          </w:p>
        </w:tc>
        <w:tc>
          <w:tcPr>
            <w:tcW w:w="52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龙山区城镇开发边界</w:t>
            </w:r>
          </w:p>
        </w:tc>
        <w:tc>
          <w:tcPr>
            <w:tcW w:w="386"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9"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30" w:type="pct"/>
            <w:vMerge w:val="restart"/>
            <w:tcBorders>
              <w:left w:val="single" w:color="auto" w:sz="4" w:space="0"/>
              <w:right w:val="single" w:color="auto" w:sz="4" w:space="0"/>
            </w:tcBorders>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vAlign w:val="center"/>
          </w:tcPr>
          <w:p>
            <w:pPr>
              <w:rPr>
                <w:rFonts w:ascii="Times New Roman" w:hAnsi="Times New Roman" w:eastAsia="仿宋" w:cs="Times New Roman"/>
                <w:color w:val="FF0000"/>
                <w:sz w:val="20"/>
                <w:szCs w:val="20"/>
              </w:rPr>
            </w:pPr>
          </w:p>
        </w:tc>
        <w:tc>
          <w:tcPr>
            <w:tcW w:w="524" w:type="pct"/>
            <w:vMerge w:val="continue"/>
            <w:vAlign w:val="center"/>
          </w:tcPr>
          <w:p>
            <w:pPr>
              <w:rPr>
                <w:rFonts w:ascii="Times New Roman" w:hAnsi="Times New Roman" w:eastAsia="仿宋" w:cs="Times New Roman"/>
                <w:color w:val="FF0000"/>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9"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vAlign w:val="center"/>
          </w:tcPr>
          <w:p>
            <w:pPr>
              <w:rPr>
                <w:rFonts w:ascii="Times New Roman" w:hAnsi="Times New Roman" w:eastAsia="仿宋" w:cs="Times New Roman"/>
                <w:color w:val="FF0000"/>
                <w:sz w:val="20"/>
                <w:szCs w:val="20"/>
              </w:rPr>
            </w:pPr>
          </w:p>
        </w:tc>
        <w:tc>
          <w:tcPr>
            <w:tcW w:w="524" w:type="pct"/>
            <w:vMerge w:val="continue"/>
            <w:vAlign w:val="center"/>
          </w:tcPr>
          <w:p>
            <w:pPr>
              <w:rPr>
                <w:rFonts w:ascii="Times New Roman" w:hAnsi="Times New Roman" w:eastAsia="仿宋" w:cs="Times New Roman"/>
                <w:color w:val="FF0000"/>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9"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0" w:type="pct"/>
            <w:vMerge w:val="continue"/>
            <w:vAlign w:val="center"/>
          </w:tcPr>
          <w:p>
            <w:pPr>
              <w:rPr>
                <w:rFonts w:ascii="Times New Roman" w:hAnsi="Times New Roman" w:eastAsia="仿宋" w:cs="Times New Roman"/>
                <w:color w:val="FF0000"/>
                <w:sz w:val="20"/>
                <w:szCs w:val="20"/>
              </w:rPr>
            </w:pPr>
          </w:p>
        </w:tc>
        <w:tc>
          <w:tcPr>
            <w:tcW w:w="524" w:type="pct"/>
            <w:vMerge w:val="continue"/>
            <w:vAlign w:val="center"/>
          </w:tcPr>
          <w:p>
            <w:pPr>
              <w:rPr>
                <w:rFonts w:ascii="Times New Roman" w:hAnsi="Times New Roman" w:eastAsia="仿宋" w:cs="Times New Roman"/>
                <w:color w:val="FF0000"/>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9"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tc>
        <w:tc>
          <w:tcPr>
            <w:tcW w:w="93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70"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ZH22040220004</w:t>
            </w:r>
          </w:p>
        </w:tc>
        <w:tc>
          <w:tcPr>
            <w:tcW w:w="524"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龙山区大气环境高排放重点管控区</w:t>
            </w:r>
          </w:p>
        </w:tc>
        <w:tc>
          <w:tcPr>
            <w:tcW w:w="386" w:type="pct"/>
            <w:vMerge w:val="restart"/>
            <w:tcBorders>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30"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3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39" w:type="pct"/>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3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70"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ZH22040220005</w:t>
            </w:r>
          </w:p>
        </w:tc>
        <w:tc>
          <w:tcPr>
            <w:tcW w:w="524"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龙山区大气环境布局敏感区</w:t>
            </w:r>
          </w:p>
        </w:tc>
        <w:tc>
          <w:tcPr>
            <w:tcW w:w="386" w:type="pct"/>
            <w:vMerge w:val="restart"/>
            <w:tcBorders>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3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30"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大气环境布局敏感重点管控区、高污染燃料禁燃区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30"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39" w:type="pct"/>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30"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70" w:type="pct"/>
            <w:vMerge w:val="continue"/>
            <w:vAlign w:val="center"/>
          </w:tcPr>
          <w:p>
            <w:pPr>
              <w:rPr>
                <w:rFonts w:ascii="Times New Roman" w:hAnsi="Times New Roman" w:eastAsia="仿宋" w:cs="Times New Roman"/>
                <w:sz w:val="20"/>
                <w:szCs w:val="20"/>
              </w:rPr>
            </w:pPr>
          </w:p>
        </w:tc>
        <w:tc>
          <w:tcPr>
            <w:tcW w:w="524" w:type="pct"/>
            <w:vMerge w:val="continue"/>
            <w:vAlign w:val="center"/>
          </w:tcPr>
          <w:p>
            <w:pPr>
              <w:rPr>
                <w:rFonts w:ascii="Times New Roman" w:hAnsi="Times New Roman" w:eastAsia="仿宋" w:cs="Times New Roman"/>
                <w:sz w:val="20"/>
                <w:szCs w:val="20"/>
              </w:rPr>
            </w:pPr>
          </w:p>
        </w:tc>
        <w:tc>
          <w:tcPr>
            <w:tcW w:w="386" w:type="pct"/>
            <w:vMerge w:val="continue"/>
            <w:tcBorders>
              <w:right w:val="single" w:color="auto" w:sz="4" w:space="0"/>
            </w:tcBorders>
            <w:vAlign w:val="center"/>
          </w:tcPr>
          <w:p>
            <w:pPr>
              <w:rPr>
                <w:rFonts w:ascii="Times New Roman" w:hAnsi="Times New Roman" w:eastAsia="仿宋" w:cs="Times New Roman"/>
                <w:sz w:val="20"/>
                <w:szCs w:val="20"/>
              </w:rPr>
            </w:pPr>
          </w:p>
        </w:tc>
        <w:tc>
          <w:tcPr>
            <w:tcW w:w="449"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39"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tc>
        <w:tc>
          <w:tcPr>
            <w:tcW w:w="930"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470"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ZH22040230001</w:t>
            </w:r>
          </w:p>
        </w:tc>
        <w:tc>
          <w:tcPr>
            <w:tcW w:w="524"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龙山区一般管控区</w:t>
            </w:r>
          </w:p>
        </w:tc>
        <w:tc>
          <w:tcPr>
            <w:tcW w:w="386" w:type="pct"/>
            <w:tcBorders>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4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3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0" w:type="pct"/>
            <w:vAlign w:val="center"/>
          </w:tcPr>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pStyle w:val="7"/>
        <w:ind w:firstLine="480"/>
        <w:rPr>
          <w:rFonts w:ascii="Times New Roman" w:hAnsi="Times New Roman" w:eastAsia="仿宋"/>
          <w:color w:val="FF0000"/>
        </w:rPr>
      </w:pPr>
    </w:p>
    <w:p>
      <w:pPr>
        <w:keepNext/>
        <w:keepLines/>
        <w:spacing w:before="260" w:after="260"/>
        <w:outlineLvl w:val="1"/>
        <w:rPr>
          <w:rFonts w:ascii="Times New Roman" w:hAnsi="Times New Roman" w:eastAsia="仿宋" w:cs="Times New Roman"/>
          <w:b/>
          <w:bCs/>
          <w:sz w:val="32"/>
          <w:szCs w:val="32"/>
        </w:rPr>
      </w:pPr>
      <w:bookmarkStart w:id="103" w:name="_Toc12073"/>
      <w:r>
        <w:rPr>
          <w:rFonts w:ascii="Times New Roman" w:hAnsi="Times New Roman" w:eastAsia="仿宋" w:cs="Times New Roman"/>
          <w:b/>
          <w:bCs/>
          <w:sz w:val="32"/>
          <w:szCs w:val="32"/>
        </w:rPr>
        <w:t>（二十七） 辽源市西安区生态环境准入清单</w:t>
      </w:r>
      <w:bookmarkEnd w:id="103"/>
    </w:p>
    <w:p>
      <w:pPr>
        <w:jc w:val="center"/>
        <w:rPr>
          <w:rFonts w:ascii="Times New Roman" w:hAnsi="Times New Roman" w:eastAsia="仿宋" w:cs="Times New Roman"/>
          <w:b/>
        </w:rPr>
      </w:pPr>
      <w:r>
        <w:rPr>
          <w:rFonts w:ascii="Times New Roman" w:hAnsi="Times New Roman" w:eastAsia="仿宋" w:cs="Times New Roman"/>
          <w:b/>
        </w:rPr>
        <w:t>表4-27-1 辽源市西安区区域特征研判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1.《吉林省主体功能区规划》中的重点开发区域。</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位于吉林省中南部，辽源市西北部，地处长白山余脉与松辽平原过渡带的东辽河畔，总面积180平方公里。辖6个街道1个镇。</w:t>
            </w:r>
          </w:p>
          <w:p>
            <w:pPr>
              <w:rPr>
                <w:rFonts w:ascii="Times New Roman" w:hAnsi="Times New Roman" w:eastAsia="仿宋" w:cs="Times New Roman"/>
                <w:kern w:val="0"/>
                <w:szCs w:val="21"/>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发展新材料、新能源、新医药、纺织袜业等接续工业，推进旅游、金融、现代商贸流通等服务业重点领域发展，完善城镇基础设施，提升产业集聚能力和经济带动能力，坚持可持续发展，建设以清洁能源、高精铝加工、纺织、水泥和新型建材为主的吉林中南部重要的新型工业基地。</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人居安全。</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（1）控制建设用地总规模。</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表4-27-2  辽源市西安区生态环境准入清单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99"/>
        <w:gridCol w:w="2268"/>
        <w:gridCol w:w="1684"/>
        <w:gridCol w:w="1989"/>
        <w:gridCol w:w="9186"/>
        <w:gridCol w:w="4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36"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8"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70"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71"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73"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ZH22040310001</w:t>
            </w:r>
          </w:p>
        </w:tc>
        <w:tc>
          <w:tcPr>
            <w:tcW w:w="536"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西安区水土保持功能重要区</w:t>
            </w:r>
          </w:p>
        </w:tc>
        <w:tc>
          <w:tcPr>
            <w:tcW w:w="398"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0"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73"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p>
          <w:p>
            <w:pPr>
              <w:jc w:val="left"/>
              <w:rPr>
                <w:rFonts w:ascii="Times New Roman" w:hAnsi="Times New Roman" w:eastAsia="仿宋" w:cs="Times New Roman"/>
                <w:b/>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ZH22040310002</w:t>
            </w:r>
          </w:p>
        </w:tc>
        <w:tc>
          <w:tcPr>
            <w:tcW w:w="53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西安区水土流失敏感区</w:t>
            </w:r>
          </w:p>
        </w:tc>
        <w:tc>
          <w:tcPr>
            <w:tcW w:w="398"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73"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 w:hRule="atLeast"/>
        </w:trPr>
        <w:tc>
          <w:tcPr>
            <w:tcW w:w="44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ZH22040320001</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吉林辽源高新技术产业开发区</w:t>
            </w:r>
          </w:p>
        </w:tc>
        <w:tc>
          <w:tcPr>
            <w:tcW w:w="398"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73" w:type="pct"/>
            <w:vMerge w:val="restart"/>
            <w:tcBorders>
              <w:left w:val="single" w:color="auto" w:sz="4" w:space="0"/>
              <w:right w:val="single" w:color="auto" w:sz="4" w:space="0"/>
            </w:tcBorders>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辽源强势产业发展的重要载体、对外开放的重要“窗口”、引领辽源经济快跑的“火车头”</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装备制造、新型材料、医药健康、纺织袜业、商贸物流、精细化工、新能源产业</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园区规划环评、《企业事业单位突发环境事件应急预案备案管理办法（试行）》《中共吉林省委 吉林省人民政府关于深入打好污染防治攻坚战的实施意见》《吉林省减污降碳协同增效实施方案》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 w:hRule="atLeast"/>
        </w:trPr>
        <w:tc>
          <w:tcPr>
            <w:tcW w:w="449"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398"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73" w:type="pct"/>
            <w:vMerge w:val="continue"/>
            <w:tcBorders>
              <w:left w:val="single" w:color="auto" w:sz="4" w:space="0"/>
              <w:right w:val="single" w:color="auto" w:sz="4" w:space="0"/>
            </w:tcBorders>
            <w:vAlign w:val="center"/>
          </w:tcPr>
          <w:p>
            <w:pPr>
              <w:widowControl/>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 w:hRule="atLeast"/>
        </w:trPr>
        <w:tc>
          <w:tcPr>
            <w:tcW w:w="449" w:type="pct"/>
            <w:vMerge w:val="continue"/>
            <w:shd w:val="clear" w:color="auto" w:fill="auto"/>
            <w:vAlign w:val="center"/>
          </w:tcPr>
          <w:p>
            <w:pPr>
              <w:rPr>
                <w:rFonts w:ascii="Times New Roman" w:hAnsi="Times New Roman" w:eastAsia="仿宋" w:cs="Times New Roman"/>
                <w:sz w:val="20"/>
                <w:szCs w:val="20"/>
              </w:rPr>
            </w:pPr>
          </w:p>
        </w:tc>
        <w:tc>
          <w:tcPr>
            <w:tcW w:w="536" w:type="pct"/>
            <w:vMerge w:val="continue"/>
            <w:shd w:val="clear" w:color="auto" w:fill="auto"/>
            <w:vAlign w:val="center"/>
          </w:tcPr>
          <w:p>
            <w:pPr>
              <w:rPr>
                <w:rFonts w:ascii="Times New Roman" w:hAnsi="Times New Roman" w:eastAsia="仿宋" w:cs="Times New Roman"/>
                <w:sz w:val="20"/>
                <w:szCs w:val="20"/>
              </w:rPr>
            </w:pPr>
          </w:p>
        </w:tc>
        <w:tc>
          <w:tcPr>
            <w:tcW w:w="398"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1严格落实规划环评及其批复文件制定的环境风险防范措施。</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2开发区应</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3开发区应制定环境风险应急预案，成立应急组织机构，定期开展应急演练，提高区域环境风险防范能力。</w:t>
            </w:r>
          </w:p>
        </w:tc>
        <w:tc>
          <w:tcPr>
            <w:tcW w:w="973" w:type="pct"/>
            <w:vMerge w:val="continue"/>
            <w:tcBorders>
              <w:left w:val="single" w:color="auto" w:sz="4" w:space="0"/>
              <w:right w:val="single" w:color="auto" w:sz="4" w:space="0"/>
            </w:tcBorders>
            <w:vAlign w:val="center"/>
          </w:tcPr>
          <w:p>
            <w:pPr>
              <w:widowControl/>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 w:hRule="atLeast"/>
        </w:trPr>
        <w:tc>
          <w:tcPr>
            <w:tcW w:w="449" w:type="pct"/>
            <w:vMerge w:val="continue"/>
            <w:shd w:val="clear" w:color="auto" w:fill="auto"/>
            <w:vAlign w:val="center"/>
          </w:tcPr>
          <w:p>
            <w:pPr>
              <w:rPr>
                <w:rFonts w:ascii="Times New Roman" w:hAnsi="Times New Roman" w:eastAsia="仿宋" w:cs="Times New Roman"/>
                <w:color w:val="FF0000"/>
                <w:sz w:val="20"/>
                <w:szCs w:val="20"/>
              </w:rPr>
            </w:pPr>
          </w:p>
        </w:tc>
        <w:tc>
          <w:tcPr>
            <w:tcW w:w="536" w:type="pct"/>
            <w:vMerge w:val="continue"/>
            <w:shd w:val="clear" w:color="auto" w:fill="auto"/>
            <w:vAlign w:val="center"/>
          </w:tcPr>
          <w:p>
            <w:pPr>
              <w:rPr>
                <w:rFonts w:ascii="Times New Roman" w:hAnsi="Times New Roman" w:eastAsia="仿宋" w:cs="Times New Roman"/>
                <w:color w:val="FF0000"/>
                <w:sz w:val="20"/>
                <w:szCs w:val="20"/>
              </w:rPr>
            </w:pPr>
          </w:p>
        </w:tc>
        <w:tc>
          <w:tcPr>
            <w:tcW w:w="398"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71"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73" w:type="pct"/>
            <w:vMerge w:val="continue"/>
            <w:tcBorders>
              <w:left w:val="single" w:color="auto" w:sz="4" w:space="0"/>
              <w:right w:val="single" w:color="auto" w:sz="4" w:space="0"/>
            </w:tcBorders>
            <w:vAlign w:val="center"/>
          </w:tcPr>
          <w:p>
            <w:pPr>
              <w:widowControl/>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ZH22040320002</w:t>
            </w:r>
          </w:p>
        </w:tc>
        <w:tc>
          <w:tcPr>
            <w:tcW w:w="53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西安区城镇开发边界</w:t>
            </w:r>
          </w:p>
        </w:tc>
        <w:tc>
          <w:tcPr>
            <w:tcW w:w="398"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73" w:type="pct"/>
            <w:vMerge w:val="restart"/>
            <w:tcBorders>
              <w:left w:val="single" w:color="auto" w:sz="4" w:space="0"/>
              <w:right w:val="single" w:color="auto" w:sz="4" w:space="0"/>
            </w:tcBorders>
            <w:vAlign w:val="center"/>
          </w:tcPr>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吉林省生态环境保护“十四五”规划》《污染地块土壤环境管理办法（试行）》《工矿用地土壤环境管理办法（试行）》《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3" w:hRule="atLeast"/>
        </w:trPr>
        <w:tc>
          <w:tcPr>
            <w:tcW w:w="449"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536" w:type="pct"/>
            <w:vMerge w:val="continue"/>
            <w:shd w:val="clear" w:color="auto" w:fill="auto"/>
            <w:vAlign w:val="center"/>
          </w:tcPr>
          <w:p>
            <w:pPr>
              <w:widowControl/>
              <w:rPr>
                <w:rFonts w:ascii="Times New Roman" w:hAnsi="Times New Roman" w:eastAsia="仿宋" w:cs="Times New Roman"/>
                <w:color w:val="FF000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sz w:val="20"/>
                <w:szCs w:val="20"/>
              </w:rPr>
            </w:pP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7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continue"/>
            <w:shd w:val="clear" w:color="auto" w:fill="auto"/>
            <w:vAlign w:val="center"/>
          </w:tcPr>
          <w:p>
            <w:pPr>
              <w:widowControl/>
              <w:rPr>
                <w:rFonts w:ascii="Times New Roman" w:hAnsi="Times New Roman" w:eastAsia="仿宋" w:cs="Times New Roman"/>
                <w:color w:val="FF0000"/>
                <w:kern w:val="0"/>
                <w:sz w:val="20"/>
                <w:szCs w:val="20"/>
              </w:rPr>
            </w:pPr>
          </w:p>
        </w:tc>
        <w:tc>
          <w:tcPr>
            <w:tcW w:w="536" w:type="pct"/>
            <w:vMerge w:val="continue"/>
            <w:shd w:val="clear" w:color="auto" w:fill="auto"/>
            <w:vAlign w:val="center"/>
          </w:tcPr>
          <w:p>
            <w:pPr>
              <w:widowControl/>
              <w:rPr>
                <w:rFonts w:ascii="Times New Roman" w:hAnsi="Times New Roman" w:eastAsia="仿宋" w:cs="Times New Roman"/>
                <w:color w:val="FF0000"/>
                <w:kern w:val="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3"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continue"/>
            <w:shd w:val="clear" w:color="auto" w:fill="auto"/>
            <w:vAlign w:val="center"/>
          </w:tcPr>
          <w:p>
            <w:pPr>
              <w:widowControl/>
              <w:rPr>
                <w:rFonts w:ascii="Times New Roman" w:hAnsi="Times New Roman" w:eastAsia="仿宋" w:cs="Times New Roman"/>
                <w:color w:val="FF0000"/>
                <w:kern w:val="0"/>
                <w:sz w:val="20"/>
                <w:szCs w:val="20"/>
              </w:rPr>
            </w:pPr>
          </w:p>
        </w:tc>
        <w:tc>
          <w:tcPr>
            <w:tcW w:w="536" w:type="pct"/>
            <w:vMerge w:val="continue"/>
            <w:shd w:val="clear" w:color="auto" w:fill="auto"/>
            <w:vAlign w:val="center"/>
          </w:tcPr>
          <w:p>
            <w:pPr>
              <w:widowControl/>
              <w:rPr>
                <w:rFonts w:ascii="Times New Roman" w:hAnsi="Times New Roman" w:eastAsia="仿宋" w:cs="Times New Roman"/>
                <w:color w:val="FF0000"/>
                <w:kern w:val="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p>
        </w:tc>
        <w:tc>
          <w:tcPr>
            <w:tcW w:w="47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ZH22040320003</w:t>
            </w:r>
          </w:p>
        </w:tc>
        <w:tc>
          <w:tcPr>
            <w:tcW w:w="53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西安区大气环境高排放重点管控区</w:t>
            </w:r>
          </w:p>
        </w:tc>
        <w:tc>
          <w:tcPr>
            <w:tcW w:w="398" w:type="pct"/>
            <w:vMerge w:val="restart"/>
            <w:tcBorders>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7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大气环境高排放重点管控区、</w:t>
            </w:r>
            <w:r>
              <w:rPr>
                <w:rFonts w:ascii="Times New Roman" w:hAnsi="Times New Roman" w:eastAsia="仿宋" w:cs="Times New Roman"/>
                <w:sz w:val="20"/>
                <w:szCs w:val="20"/>
              </w:rPr>
              <w:t>建设用地污染风险重点管控区、高污染燃料禁燃区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《吉林省减污降碳协同增效实施方案》《中共吉林省委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53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53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449"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53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398" w:type="pct"/>
            <w:vMerge w:val="continue"/>
            <w:tcBorders>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p>
        </w:tc>
        <w:tc>
          <w:tcPr>
            <w:tcW w:w="470"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71"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1完成吉林省下达的产能置换要求。</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ZH22040320004</w:t>
            </w:r>
          </w:p>
        </w:tc>
        <w:tc>
          <w:tcPr>
            <w:tcW w:w="536"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西安区大气环境布局敏感重点管控区</w:t>
            </w:r>
          </w:p>
        </w:tc>
        <w:tc>
          <w:tcPr>
            <w:tcW w:w="398" w:type="pct"/>
            <w:vMerge w:val="restart"/>
            <w:tcBorders>
              <w:right w:val="single" w:color="auto" w:sz="4" w:space="0"/>
            </w:tcBorders>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1"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73"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大气环境布局敏感重点管控区、建设用地污染风险重点管控区、高污染燃料禁燃区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《中共吉林省委 吉林省人民政府关于深入打好污染防治攻坚战的实施意见》《污染地块土壤环境管理办法（试行）》《工矿用地土壤环境管理办法（试行）》《吉林省生态环境保护“十四五”规划》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vMerge w:val="continue"/>
            <w:vAlign w:val="center"/>
          </w:tcPr>
          <w:p>
            <w:pPr>
              <w:rPr>
                <w:rFonts w:ascii="Times New Roman" w:hAnsi="Times New Roman" w:eastAsia="仿宋" w:cs="Times New Roman"/>
                <w:color w:val="FF0000"/>
                <w:sz w:val="20"/>
                <w:szCs w:val="20"/>
              </w:rPr>
            </w:pPr>
          </w:p>
        </w:tc>
        <w:tc>
          <w:tcPr>
            <w:tcW w:w="536" w:type="pct"/>
            <w:vMerge w:val="continue"/>
            <w:vAlign w:val="center"/>
          </w:tcPr>
          <w:p>
            <w:pPr>
              <w:rPr>
                <w:rFonts w:ascii="Times New Roman" w:hAnsi="Times New Roman" w:eastAsia="仿宋" w:cs="Times New Roman"/>
                <w:color w:val="FF0000"/>
                <w:sz w:val="20"/>
                <w:szCs w:val="20"/>
              </w:rPr>
            </w:pPr>
          </w:p>
        </w:tc>
        <w:tc>
          <w:tcPr>
            <w:tcW w:w="398"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1"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vMerge w:val="continue"/>
            <w:vAlign w:val="center"/>
          </w:tcPr>
          <w:p>
            <w:pPr>
              <w:rPr>
                <w:rFonts w:ascii="Times New Roman" w:hAnsi="Times New Roman" w:eastAsia="仿宋" w:cs="Times New Roman"/>
                <w:color w:val="FF0000"/>
                <w:sz w:val="20"/>
                <w:szCs w:val="20"/>
              </w:rPr>
            </w:pPr>
          </w:p>
          <w:p>
            <w:pPr>
              <w:rPr>
                <w:rFonts w:ascii="Times New Roman" w:hAnsi="Times New Roman" w:eastAsia="仿宋" w:cs="Times New Roman"/>
                <w:color w:val="FF0000"/>
                <w:sz w:val="20"/>
                <w:szCs w:val="20"/>
              </w:rPr>
            </w:pPr>
          </w:p>
          <w:p>
            <w:pPr>
              <w:rPr>
                <w:rFonts w:ascii="Times New Roman" w:hAnsi="Times New Roman" w:eastAsia="仿宋" w:cs="Times New Roman"/>
                <w:color w:val="FF0000"/>
                <w:sz w:val="20"/>
                <w:szCs w:val="20"/>
              </w:rPr>
            </w:pPr>
          </w:p>
        </w:tc>
        <w:tc>
          <w:tcPr>
            <w:tcW w:w="536" w:type="pct"/>
            <w:vMerge w:val="continue"/>
            <w:vAlign w:val="center"/>
          </w:tcPr>
          <w:p>
            <w:pPr>
              <w:rPr>
                <w:rFonts w:ascii="Times New Roman" w:hAnsi="Times New Roman" w:eastAsia="仿宋" w:cs="Times New Roman"/>
                <w:color w:val="FF0000"/>
                <w:sz w:val="20"/>
                <w:szCs w:val="20"/>
              </w:rPr>
            </w:pPr>
          </w:p>
        </w:tc>
        <w:tc>
          <w:tcPr>
            <w:tcW w:w="398"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70"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1"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vMerge w:val="continue"/>
            <w:vAlign w:val="center"/>
          </w:tcPr>
          <w:p>
            <w:pPr>
              <w:rPr>
                <w:rFonts w:ascii="Times New Roman" w:hAnsi="Times New Roman" w:eastAsia="仿宋" w:cs="Times New Roman"/>
                <w:color w:val="FF0000"/>
                <w:sz w:val="20"/>
                <w:szCs w:val="20"/>
              </w:rPr>
            </w:pPr>
          </w:p>
        </w:tc>
        <w:tc>
          <w:tcPr>
            <w:tcW w:w="536" w:type="pct"/>
            <w:vMerge w:val="continue"/>
            <w:vAlign w:val="center"/>
          </w:tcPr>
          <w:p>
            <w:pPr>
              <w:rPr>
                <w:rFonts w:ascii="Times New Roman" w:hAnsi="Times New Roman" w:eastAsia="仿宋" w:cs="Times New Roman"/>
                <w:color w:val="FF0000"/>
                <w:sz w:val="20"/>
                <w:szCs w:val="20"/>
              </w:rPr>
            </w:pPr>
          </w:p>
        </w:tc>
        <w:tc>
          <w:tcPr>
            <w:tcW w:w="398" w:type="pct"/>
            <w:vMerge w:val="continue"/>
            <w:tcBorders>
              <w:right w:val="single" w:color="auto" w:sz="4" w:space="0"/>
            </w:tcBorders>
            <w:vAlign w:val="center"/>
          </w:tcPr>
          <w:p>
            <w:pPr>
              <w:rPr>
                <w:rFonts w:ascii="Times New Roman" w:hAnsi="Times New Roman" w:eastAsia="仿宋" w:cs="Times New Roman"/>
                <w:color w:val="FF0000"/>
                <w:sz w:val="20"/>
                <w:szCs w:val="20"/>
              </w:rPr>
            </w:pPr>
          </w:p>
        </w:tc>
        <w:tc>
          <w:tcPr>
            <w:tcW w:w="470"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1"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辽源市人民政府关于划定高污染燃料禁燃区的通告》执行；禁燃区内禁止新建、扩建燃用高污染燃料的锅炉、炉窑、炉灶等燃烧设施（20蒸吨/小时及以上的集中供热锅炉、热电联产锅炉除外）；禁燃区内的单位和个人要在通告划定范围和规定的时限内停止使用高污染燃料，在集中供热管网或者燃气管网覆盖范围内的，应当改用集中供热或者改用天然气；未在集中供热管网或者燃气管网覆盖范围内的，应当改用电、液化石油气或者其他清洁能源，淘汰使用高污染燃料的锅炉、炉窑、炉灶等燃烧设施。</w:t>
            </w:r>
          </w:p>
        </w:tc>
        <w:tc>
          <w:tcPr>
            <w:tcW w:w="973"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9"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ZH22040330001</w:t>
            </w:r>
          </w:p>
        </w:tc>
        <w:tc>
          <w:tcPr>
            <w:tcW w:w="536"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西安区一般管控区</w:t>
            </w:r>
          </w:p>
        </w:tc>
        <w:tc>
          <w:tcPr>
            <w:tcW w:w="398"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70"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1"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73" w:type="pct"/>
            <w:tcBorders>
              <w:left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pStyle w:val="7"/>
        <w:ind w:firstLine="480"/>
        <w:rPr>
          <w:rFonts w:ascii="Times New Roman" w:hAnsi="Times New Roman" w:eastAsia="仿宋"/>
          <w:color w:val="FF0000"/>
        </w:rPr>
      </w:pPr>
    </w:p>
    <w:p>
      <w:pPr>
        <w:keepNext/>
        <w:keepLines/>
        <w:spacing w:before="260" w:after="260"/>
        <w:outlineLvl w:val="1"/>
        <w:rPr>
          <w:rFonts w:ascii="Times New Roman" w:hAnsi="Times New Roman" w:eastAsia="仿宋" w:cs="Times New Roman"/>
          <w:b/>
          <w:bCs/>
          <w:sz w:val="32"/>
          <w:szCs w:val="32"/>
        </w:rPr>
      </w:pPr>
      <w:bookmarkStart w:id="104" w:name="_Toc8363"/>
      <w:r>
        <w:rPr>
          <w:rFonts w:ascii="Times New Roman" w:hAnsi="Times New Roman" w:eastAsia="仿宋" w:cs="Times New Roman"/>
          <w:b/>
          <w:bCs/>
          <w:sz w:val="32"/>
          <w:szCs w:val="32"/>
        </w:rPr>
        <w:t>（二十八） 辽源市东丰县生态环境准入清单</w:t>
      </w:r>
      <w:bookmarkEnd w:id="104"/>
    </w:p>
    <w:p>
      <w:pPr>
        <w:jc w:val="center"/>
        <w:rPr>
          <w:rFonts w:ascii="Times New Roman" w:hAnsi="Times New Roman" w:eastAsia="仿宋" w:cs="Times New Roman"/>
          <w:b/>
        </w:rPr>
      </w:pPr>
      <w:r>
        <w:rPr>
          <w:rFonts w:ascii="Times New Roman" w:hAnsi="Times New Roman" w:eastAsia="仿宋" w:cs="Times New Roman"/>
          <w:b/>
        </w:rPr>
        <w:t>表4-28-1 辽源市东丰县区域特征研判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0"/>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0"/>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0"/>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0"/>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numPr>
                <w:ilvl w:val="0"/>
                <w:numId w:val="1"/>
              </w:numPr>
              <w:rPr>
                <w:rFonts w:ascii="Times New Roman" w:hAnsi="Times New Roman" w:eastAsia="仿宋" w:cs="Times New Roman"/>
                <w:kern w:val="0"/>
                <w:szCs w:val="20"/>
              </w:rPr>
            </w:pPr>
            <w:r>
              <w:rPr>
                <w:rFonts w:ascii="Times New Roman" w:hAnsi="Times New Roman" w:eastAsia="仿宋" w:cs="Times New Roman"/>
                <w:kern w:val="0"/>
                <w:szCs w:val="20"/>
              </w:rPr>
              <w:t>《吉林省主体功能区规划》中的农产品主产区。</w:t>
            </w:r>
          </w:p>
          <w:p>
            <w:pPr>
              <w:numPr>
                <w:ilvl w:val="0"/>
                <w:numId w:val="1"/>
              </w:numPr>
              <w:rPr>
                <w:rFonts w:ascii="Times New Roman" w:hAnsi="Times New Roman" w:eastAsia="仿宋" w:cs="Times New Roman"/>
                <w:kern w:val="0"/>
                <w:sz w:val="20"/>
                <w:szCs w:val="21"/>
              </w:rPr>
            </w:pPr>
            <w:r>
              <w:rPr>
                <w:rFonts w:ascii="Times New Roman" w:hAnsi="Times New Roman" w:eastAsia="仿宋" w:cs="Times New Roman"/>
                <w:kern w:val="0"/>
                <w:sz w:val="20"/>
                <w:szCs w:val="21"/>
              </w:rPr>
              <w:t>吉林省省级全域旅游示范区。</w:t>
            </w:r>
          </w:p>
          <w:p>
            <w:pPr>
              <w:rPr>
                <w:rFonts w:ascii="Times New Roman" w:hAnsi="Times New Roman" w:eastAsia="仿宋" w:cs="Times New Roman"/>
                <w:kern w:val="0"/>
                <w:szCs w:val="21"/>
              </w:rPr>
            </w:pPr>
            <w:r>
              <w:rPr>
                <w:rFonts w:ascii="Times New Roman" w:hAnsi="Times New Roman" w:eastAsia="仿宋" w:cs="Times New Roman"/>
                <w:kern w:val="0"/>
                <w:szCs w:val="20"/>
              </w:rPr>
              <w:t>3. 位于吉林省中南部，辽源市东南面，总面积2522平方公里。辖12个镇2个乡，总人口40万。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0"/>
              </w:rPr>
            </w:pPr>
            <w:r>
              <w:rPr>
                <w:rFonts w:ascii="Times New Roman" w:hAnsi="Times New Roman" w:eastAsia="仿宋" w:cs="Times New Roman"/>
                <w:kern w:val="0"/>
                <w:szCs w:val="20"/>
              </w:rPr>
              <w:t>是承接国家产业转移示范区、吉林中部创新转型先导区、中国梅花鹿产业发展核心区。</w:t>
            </w:r>
          </w:p>
          <w:p>
            <w:pPr>
              <w:rPr>
                <w:rFonts w:ascii="Times New Roman" w:hAnsi="Times New Roman" w:eastAsia="仿宋" w:cs="Times New Roman"/>
                <w:kern w:val="0"/>
                <w:szCs w:val="21"/>
              </w:rPr>
            </w:pPr>
            <w:r>
              <w:rPr>
                <w:rFonts w:ascii="Times New Roman" w:hAnsi="Times New Roman" w:eastAsia="仿宋" w:cs="Times New Roman"/>
                <w:kern w:val="0"/>
                <w:szCs w:val="20"/>
              </w:rPr>
              <w:t>改造提升钢铁、机械、轻工、纺织、农产品深加工等传统产业。以经济开发区为依托，着力培育发展梅花鹿深加工、现代装备制造、健康食品、生物医药、新能源等战略性新兴产业，打造新兴产业发展崛起区。以扩大规模、拓宽领域、提升功能、创新业态为方向，优先发展生产性服务业，大力发展生活性服务业，积极发展高端服务业。</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0"/>
              </w:rPr>
            </w:pPr>
            <w:r>
              <w:rPr>
                <w:rFonts w:ascii="Times New Roman" w:hAnsi="Times New Roman" w:eastAsia="仿宋" w:cs="Times New Roman"/>
                <w:kern w:val="0"/>
                <w:szCs w:val="20"/>
              </w:rPr>
              <w:t>地表水超标。</w:t>
            </w:r>
          </w:p>
          <w:p>
            <w:pPr>
              <w:rPr>
                <w:rFonts w:ascii="Times New Roman" w:hAnsi="Times New Roman" w:eastAsia="仿宋" w:cs="Times New Roman"/>
                <w:kern w:val="0"/>
                <w:szCs w:val="21"/>
              </w:rPr>
            </w:pP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0"/>
              </w:rPr>
            </w:pPr>
            <w:r>
              <w:rPr>
                <w:rFonts w:ascii="Times New Roman" w:hAnsi="Times New Roman" w:eastAsia="仿宋" w:cs="Times New Roman"/>
                <w:kern w:val="0"/>
                <w:szCs w:val="20"/>
              </w:rPr>
              <w:t>1.重点保护：黑土地资源；东丰县安福水库饮用水水源地；仁合水库；六道沟水库；吉林东丰庆岭南山省级森林公园；东丰县水功能一级保护区</w:t>
            </w:r>
            <w:r>
              <w:rPr>
                <w:rFonts w:hint="eastAsia" w:ascii="Times New Roman" w:hAnsi="Times New Roman" w:eastAsia="仿宋" w:cs="Times New Roman"/>
                <w:kern w:val="0"/>
                <w:szCs w:val="20"/>
              </w:rPr>
              <w:t>。</w:t>
            </w:r>
          </w:p>
          <w:p>
            <w:pPr>
              <w:rPr>
                <w:rFonts w:ascii="Times New Roman" w:hAnsi="Times New Roman" w:eastAsia="仿宋" w:cs="Times New Roman"/>
                <w:kern w:val="0"/>
                <w:szCs w:val="20"/>
              </w:rPr>
            </w:pPr>
            <w:r>
              <w:rPr>
                <w:rFonts w:ascii="Times New Roman" w:hAnsi="Times New Roman" w:eastAsia="仿宋" w:cs="Times New Roman"/>
                <w:kern w:val="0"/>
                <w:szCs w:val="20"/>
              </w:rPr>
              <w:t>2.重点解决问题</w:t>
            </w:r>
          </w:p>
          <w:p>
            <w:pPr>
              <w:rPr>
                <w:rFonts w:ascii="Times New Roman" w:hAnsi="Times New Roman" w:eastAsia="仿宋" w:cs="Times New Roman"/>
                <w:kern w:val="0"/>
                <w:szCs w:val="20"/>
              </w:rPr>
            </w:pPr>
            <w:r>
              <w:rPr>
                <w:rFonts w:ascii="Times New Roman" w:hAnsi="Times New Roman" w:eastAsia="仿宋" w:cs="Times New Roman"/>
                <w:kern w:val="0"/>
                <w:szCs w:val="20"/>
              </w:rPr>
              <w:t>（1）改善区域水环境。</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表4-28-2  辽源市东丰县生态环境准入清单</w:t>
      </w:r>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46"/>
        <w:gridCol w:w="2056"/>
        <w:gridCol w:w="1802"/>
        <w:gridCol w:w="1815"/>
        <w:gridCol w:w="9569"/>
        <w:gridCol w:w="395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486"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26"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29"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62"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35"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ZH22042110001</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吉林东丰庆岭南山省级森林公园</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ZH22042110002</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东丰县安福水库饮用水水源保护区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ZH22042110003</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仁合水库生活饮用水水源保护区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ZH22042110004</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东丰县六道沟水库饮用水水源保护区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ZH22042110005</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莲河水功能区一级区保护区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2江河源头区域执行《水功能区监督管理办法》相关要求。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ZH22042110006</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伊通河水功能区一级区保护区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2江河源头区域执行《水功能区监督管理办法》相关要求。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ZH22042110007</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东丰县黑土地保护区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ZH22042110008</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东丰县水源涵养功能重要区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2禁止各种损害生态系统水源涵养功能的经济社会活动和生产方式，如无序采矿、毁林开荒、湿地和草地开垦、过度放牧等。禁止导致水体污染的产业发展。</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8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水源涵养、防风固沙、生物多样性、水土保持、水土流失、土地沙化、黑土地保护区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ZH22042110009</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东丰县松嫩平原水土保持功能生态保护红线</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2生态保护红线内江河源头区域执行《水功能区监督管理办法》相关要求。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tc>
        <w:tc>
          <w:tcPr>
            <w:tcW w:w="935"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水土保持、饮用水水源保护区、江河源头区域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ZH22042110010</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东丰县水土保持功能重要区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5江河源头区域执行《水功能区监督管理办法》相关要求。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w:t>
            </w: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ZH22042110011</w:t>
            </w:r>
          </w:p>
        </w:tc>
        <w:tc>
          <w:tcPr>
            <w:tcW w:w="486"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东丰县水土流失敏感区</w:t>
            </w:r>
          </w:p>
        </w:tc>
        <w:tc>
          <w:tcPr>
            <w:tcW w:w="426"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5江河源头区域执行《水功能区监督管理办法》相关要求。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6黑土地保护区执行《吉林省黑土地保护条例》相关要求。推广秸秆还田、机械深松、施用有机肥、土壤养分调控等技术；推行“一翻两免”耕作技术模式；建立农牧结合、种养循环试点，有效利用畜禽粪便资源。</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水土流失、江河源头区域、黑土地保护区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1" w:hRule="atLeast"/>
          <w:jc w:val="center"/>
        </w:trPr>
        <w:tc>
          <w:tcPr>
            <w:tcW w:w="46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ZH22042120001</w:t>
            </w:r>
          </w:p>
        </w:tc>
        <w:tc>
          <w:tcPr>
            <w:tcW w:w="486"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吉林东丰经济开发区</w:t>
            </w:r>
          </w:p>
        </w:tc>
        <w:tc>
          <w:tcPr>
            <w:tcW w:w="426"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严格控制高耗水、高污染行业发展。</w:t>
            </w:r>
          </w:p>
        </w:tc>
        <w:tc>
          <w:tcPr>
            <w:tcW w:w="935"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梅花鹿特色产业为引领，重点发展医药健康产业、装备制造产业、建材产业、农副产品深加工产业、新材料制造业、电子信息产业、资源综合利用产业、商住综合服务产业、物流产业等，全面提升开发区综合发展能力，把城北工业园建设成为创新、展业、文明、生态、宜居的省级经济开发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梅花鹿特色产业、医药健康产业、装备制造产业、建材产业、农副产品深加工产业、新材料制造业、电子信息产业、资源综合利用产业、商住综合服务产业、物流产业</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吉林省人民政府关于深入打好污染防治攻坚战的实施意见》《吉林省“十四五”节能减排综合实施方案》《吉林省减污降碳协同增效实施方案》《吉林省新污染物治理实施方案》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5" w:hRule="atLeast"/>
          <w:jc w:val="center"/>
        </w:trPr>
        <w:tc>
          <w:tcPr>
            <w:tcW w:w="46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bCs/>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sz w:val="20"/>
                <w:szCs w:val="20"/>
              </w:rPr>
              <w:t>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bCs/>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5" w:type="pct"/>
            <w:vMerge w:val="continue"/>
            <w:tcBorders>
              <w:left w:val="single" w:color="auto" w:sz="4" w:space="0"/>
              <w:right w:val="single" w:color="auto" w:sz="4" w:space="0"/>
            </w:tcBorders>
            <w:vAlign w:val="center"/>
          </w:tcPr>
          <w:p>
            <w:pPr>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460"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460"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46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ZH22042120002</w:t>
            </w:r>
          </w:p>
        </w:tc>
        <w:tc>
          <w:tcPr>
            <w:tcW w:w="486"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东丰冶金循环经济产业园区</w:t>
            </w:r>
          </w:p>
        </w:tc>
        <w:tc>
          <w:tcPr>
            <w:tcW w:w="426"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bCs/>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tc>
        <w:tc>
          <w:tcPr>
            <w:tcW w:w="935"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打造东北地区冶金产业低碳循环高质量发展示范基地、吉林省绿色低碳循环发展示范园区、辽源市绿色低碳宜居新城</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钢铁、冶金、物流、固体废物处理等产业</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w:t>
            </w:r>
            <w:r>
              <w:rPr>
                <w:rFonts w:ascii="Times New Roman" w:hAnsi="Times New Roman" w:eastAsia="仿宋" w:cs="Times New Roman"/>
                <w:kern w:val="0"/>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吉林省人民政府关于深入打好污染防治攻坚战的实施意见》《吉林省“十四五”节能减排综合实施方案》《吉林省减污降碳协同增效实施方案》《吉林省新污染物治理实施方案》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60"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bCs/>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sz w:val="20"/>
                <w:szCs w:val="20"/>
              </w:rPr>
              <w:t>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bCs/>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460"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460"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ZH22042120003</w:t>
            </w:r>
          </w:p>
        </w:tc>
        <w:tc>
          <w:tcPr>
            <w:tcW w:w="486"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东丰县城镇开发边界</w:t>
            </w:r>
          </w:p>
        </w:tc>
        <w:tc>
          <w:tcPr>
            <w:tcW w:w="426"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3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大气环境受体敏感重点管控区、水环境质量不达标重点管控区、水环境城镇生活污染重点管控区、建设用地污染风险重点管控区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2未完成水环境质量改善目标要求的地区，暂停审批新增重点水污染物排放总量的建设项目。新建、改建、扩建重点行业建设项目应提出有效的区域削减方案，主要污染物实行区域倍量削减。</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color w:val="FF0000"/>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color w:val="FF0000"/>
                <w:kern w:val="0"/>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除在安全或者产业布局等方面有特殊要求的项目外，应严格控制新建、扩建采用高污染燃料的项目和设施。</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60"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ZH22042120004</w:t>
            </w:r>
          </w:p>
        </w:tc>
        <w:tc>
          <w:tcPr>
            <w:tcW w:w="48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东丰县大气环境高排放重点管控区</w:t>
            </w:r>
          </w:p>
        </w:tc>
        <w:tc>
          <w:tcPr>
            <w:tcW w:w="42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3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大气环境高排放重点管控区、水环境农业污染重点管控区、水环境质量不达标重点管控区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3未完成水环境质量改善目标要求的地区，暂停审批新增重点水污染物排放总量的建设项目。新建、改建、扩建重点行业建设项目应提出有效的区域削减方案，主要污染物实行区域倍量削减。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4规模化畜禽养殖场（小区）应当保证畜禽粪污无害化处理和资源化利用设施的正常运转。散养密集区要实行畜禽粪便污水分户收集、集中处理利用。</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ZH22042120005</w:t>
            </w:r>
          </w:p>
        </w:tc>
        <w:tc>
          <w:tcPr>
            <w:tcW w:w="48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东丰县大气环境弱扩散重点管控区</w:t>
            </w:r>
          </w:p>
        </w:tc>
        <w:tc>
          <w:tcPr>
            <w:tcW w:w="42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1持续开展“散乱污”企业排查整治。</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2除在安全或者产业布局等方面有特殊要求的项目外，宜避免大规模排放大气污染物的项目布局建设。</w:t>
            </w:r>
          </w:p>
        </w:tc>
        <w:tc>
          <w:tcPr>
            <w:tcW w:w="93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污染物排放管控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1深入推进秸秆禁烧管控，实行秸秆全域禁烧。全面推进秸秆综合利用，建立完善秸秆全量化处置长效机制。实施化肥农药减量增效行动和农膜回收行动；采取积极措施，推进养殖业大气氨减排。</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2规模化畜禽养殖场（小区）应当保证畜禽粪污无害化处理和资源化利用设施的正常运转。散养密集区要实行畜禽粪便污水分户收集、集中处理利用。</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62"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严格管理涉及易导致环境风险的有毒有害和易燃易爆物质的生产、使用、贮运等新建、改扩建项目</w:t>
            </w:r>
            <w:r>
              <w:rPr>
                <w:rFonts w:ascii="Times New Roman" w:hAnsi="Times New Roman" w:eastAsia="仿宋" w:cs="Times New Roman"/>
                <w:kern w:val="0"/>
                <w:sz w:val="20"/>
                <w:szCs w:val="21"/>
              </w:rPr>
              <w:t>。</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ZH22042120006</w:t>
            </w:r>
          </w:p>
        </w:tc>
        <w:tc>
          <w:tcPr>
            <w:tcW w:w="486"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东丰县水环境农业污染重点管控区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35" w:type="pct"/>
            <w:tcBorders>
              <w:left w:val="single" w:color="auto" w:sz="4" w:space="0"/>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要素分区：</w:t>
            </w:r>
            <w:r>
              <w:rPr>
                <w:rFonts w:ascii="Times New Roman" w:hAnsi="Times New Roman" w:eastAsia="仿宋" w:cs="Times New Roman"/>
                <w:sz w:val="20"/>
                <w:szCs w:val="20"/>
              </w:rPr>
              <w:t>水环境农业污染重点管控区</w:t>
            </w:r>
          </w:p>
          <w:p>
            <w:pPr>
              <w:widowControl/>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ZH22042120007</w:t>
            </w:r>
          </w:p>
        </w:tc>
        <w:tc>
          <w:tcPr>
            <w:tcW w:w="486"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东丰县水环境质量不达标重点管控区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未完成水环境质量改善目标要求的地区，暂停审批新增重点水污染物排放总量的建设项目。新建、改建、扩建重点行业建设项目应提出有效的区域削减方案，主要污染物实行区域倍量削减。</w:t>
            </w:r>
          </w:p>
        </w:tc>
        <w:tc>
          <w:tcPr>
            <w:tcW w:w="935" w:type="pc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水环境质量不达标重点管控区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w:t>
            </w:r>
            <w:r>
              <w:rPr>
                <w:rFonts w:ascii="Times New Roman" w:hAnsi="Times New Roman" w:eastAsia="仿宋" w:cs="Times New Roman"/>
                <w:kern w:val="0"/>
                <w:sz w:val="20"/>
                <w:szCs w:val="2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ZH22042120008</w:t>
            </w:r>
          </w:p>
        </w:tc>
        <w:tc>
          <w:tcPr>
            <w:tcW w:w="486" w:type="pct"/>
            <w:vMerge w:val="restar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东丰县建设用地污染风险重点管控区</w:t>
            </w:r>
          </w:p>
        </w:tc>
        <w:tc>
          <w:tcPr>
            <w:tcW w:w="426" w:type="pct"/>
            <w:vMerge w:val="restart"/>
            <w:tcBorders>
              <w:right w:val="single" w:color="auto" w:sz="4" w:space="0"/>
            </w:tcBorders>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2-重点管控</w:t>
            </w: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3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要素分区：</w:t>
            </w:r>
            <w:r>
              <w:rPr>
                <w:rFonts w:ascii="Times New Roman" w:hAnsi="Times New Roman" w:eastAsia="仿宋" w:cs="Times New Roman"/>
                <w:sz w:val="20"/>
                <w:szCs w:val="20"/>
              </w:rPr>
              <w:t>建设用地污染风险重点管控区</w:t>
            </w:r>
          </w:p>
          <w:p>
            <w:pPr>
              <w:widowControl/>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国务院关于深入打好污染防治攻坚战的意见》《污染地块土壤环境管理办法（试行）》《工矿用地土壤环境管理办法（试行）》《吉林省生态环境保护“十四五”规划》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86" w:type="pct"/>
            <w:vMerge w:val="continue"/>
            <w:shd w:val="clear" w:color="auto" w:fill="auto"/>
            <w:vAlign w:val="center"/>
          </w:tcPr>
          <w:p>
            <w:pPr>
              <w:widowControl/>
              <w:jc w:val="left"/>
              <w:rPr>
                <w:rFonts w:ascii="Times New Roman" w:hAnsi="Times New Roman" w:eastAsia="仿宋" w:cs="Times New Roman"/>
                <w:kern w:val="0"/>
                <w:sz w:val="20"/>
                <w:szCs w:val="20"/>
              </w:rPr>
            </w:pPr>
          </w:p>
        </w:tc>
        <w:tc>
          <w:tcPr>
            <w:tcW w:w="426" w:type="pct"/>
            <w:vMerge w:val="continue"/>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429"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jc w:val="center"/>
        </w:trPr>
        <w:tc>
          <w:tcPr>
            <w:tcW w:w="460"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ZH22042130001</w:t>
            </w:r>
          </w:p>
        </w:tc>
        <w:tc>
          <w:tcPr>
            <w:tcW w:w="486" w:type="pct"/>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东丰县一般管控区</w:t>
            </w:r>
          </w:p>
        </w:tc>
        <w:tc>
          <w:tcPr>
            <w:tcW w:w="426"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29"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62"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5"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105" w:name="_Toc28383"/>
      <w:r>
        <w:rPr>
          <w:rFonts w:ascii="Times New Roman" w:hAnsi="Times New Roman" w:eastAsia="仿宋" w:cs="Times New Roman"/>
          <w:b/>
          <w:bCs/>
          <w:sz w:val="32"/>
          <w:szCs w:val="32"/>
        </w:rPr>
        <w:t>（二十九） 辽源市东辽县生态环境准入清单</w:t>
      </w:r>
      <w:bookmarkEnd w:id="105"/>
    </w:p>
    <w:p>
      <w:pPr>
        <w:jc w:val="center"/>
        <w:rPr>
          <w:rFonts w:ascii="Times New Roman" w:hAnsi="Times New Roman" w:eastAsia="仿宋" w:cs="Times New Roman"/>
          <w:b/>
        </w:rPr>
      </w:pPr>
      <w:r>
        <w:rPr>
          <w:rFonts w:ascii="Times New Roman" w:hAnsi="Times New Roman" w:eastAsia="仿宋" w:cs="Times New Roman"/>
          <w:b/>
        </w:rPr>
        <w:t>表4-29-1 辽源市东辽县区域特征研判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位于吉林省中南部，东辽河发源于境内，总面积2186平方公里。辖13个乡镇。</w:t>
            </w:r>
          </w:p>
          <w:p>
            <w:pPr>
              <w:rPr>
                <w:rFonts w:ascii="Times New Roman" w:hAnsi="Times New Roman" w:eastAsia="仿宋" w:cs="Times New Roman"/>
                <w:kern w:val="0"/>
                <w:szCs w:val="21"/>
              </w:rPr>
            </w:pP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着力做强做大汽车配套产业、蛋品及农产品加工两大主导产业，改造提升生态环保型建材、机加装备制造两大传统产业，积极培育医药健康、新材料、新能源三大新兴产业，强化工业发展平台建设，推动产业精深化、链条化、集群化发展，充分发挥工业带动作用。</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地表水超标。</w:t>
            </w:r>
          </w:p>
          <w:p>
            <w:pPr>
              <w:rPr>
                <w:rFonts w:ascii="Times New Roman" w:hAnsi="Times New Roman" w:eastAsia="仿宋" w:cs="Times New Roman"/>
                <w:kern w:val="0"/>
                <w:szCs w:val="21"/>
              </w:rPr>
            </w:pP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黑土地资源；二龙湖国家级水产种质资源保护区；东辽鴜鹭湖国家湿地公园；吉林东辽乌龙山省级森林公园；杨木水库饮用水水源地；金满水库；聚龙潭水库；吉林东辽红叶岭省级森林公园等</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表4-29-2  辽源市东辽县生态环境准入清单</w:t>
      </w:r>
    </w:p>
    <w:tbl>
      <w:tblPr>
        <w:tblStyle w:val="1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46"/>
        <w:gridCol w:w="2327"/>
        <w:gridCol w:w="1722"/>
        <w:gridCol w:w="1789"/>
        <w:gridCol w:w="9277"/>
        <w:gridCol w:w="40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50"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07" w:type="pct"/>
            <w:tcBorders>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9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65" w:type="pct"/>
            <w:tcBorders>
              <w:left w:val="single" w:color="auto" w:sz="4" w:space="0"/>
              <w:right w:val="single" w:color="auto" w:sz="4" w:space="0"/>
            </w:tcBorders>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ZH22042210001</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吉林东辽乌龙山省级森林公园</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65"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ZH22042210002</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吉林二龙湖省级森林公园</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2生态保护红线内水产种质资源保护区执行《水产种质资源保护区管理办法》相关要求。</w:t>
            </w:r>
          </w:p>
        </w:tc>
        <w:tc>
          <w:tcPr>
            <w:tcW w:w="965" w:type="pct"/>
            <w:tcBorders>
              <w:left w:val="single" w:color="auto" w:sz="4" w:space="0"/>
              <w:right w:val="single" w:color="auto" w:sz="4" w:space="0"/>
            </w:tcBorders>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ZH22042210003</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吉林东辽辽河源省级森林公园</w:t>
            </w:r>
          </w:p>
        </w:tc>
        <w:tc>
          <w:tcPr>
            <w:tcW w:w="407" w:type="pct"/>
            <w:tcBorders>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65" w:type="pct"/>
            <w:tcBorders>
              <w:left w:val="single" w:color="auto" w:sz="4" w:space="0"/>
              <w:right w:val="single" w:color="auto" w:sz="4" w:space="0"/>
            </w:tcBorders>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color w:val="FF0000"/>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ZH22042210004</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吉林东辽红叶岭省级森林公园</w:t>
            </w:r>
          </w:p>
        </w:tc>
        <w:tc>
          <w:tcPr>
            <w:tcW w:w="407" w:type="pct"/>
            <w:tcBorders>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65" w:type="pct"/>
            <w:tcBorders>
              <w:left w:val="single" w:color="auto" w:sz="4" w:space="0"/>
              <w:right w:val="single" w:color="auto" w:sz="4" w:space="0"/>
            </w:tcBorders>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ZH22042210005</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吉林东辽鴜鹭湖国家湿地公园</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2生态保护红线内湿地公园执行《中华人民共和国湿地保护法》《湿地保护管理规定》</w:t>
            </w:r>
            <w:r>
              <w:rPr>
                <w:rFonts w:hint="eastAsia" w:ascii="Times New Roman" w:hAnsi="Times New Roman" w:eastAsia="仿宋" w:cs="Times New Roman"/>
                <w:kern w:val="0"/>
                <w:sz w:val="20"/>
                <w:szCs w:val="20"/>
              </w:rPr>
              <w:t>《国家级自然公园管理办法（试行）》</w:t>
            </w:r>
            <w:r>
              <w:rPr>
                <w:rFonts w:ascii="Times New Roman" w:hAnsi="Times New Roman" w:eastAsia="仿宋" w:cs="Times New Roman"/>
                <w:kern w:val="0"/>
                <w:sz w:val="20"/>
                <w:szCs w:val="20"/>
              </w:rPr>
              <w:t>《吉林省湿地保护条例》《关于特别是作为水禽栖息地的国际重要湿地公约》相关要求。</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湿地公园、饮用水水源保护区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ZH22042210006</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东辽县金满水库生活饮用水水源保护区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ZH22042210007</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东辽县聚龙潭水库生活饮用水水源保护区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ZH22042210008</w:t>
            </w:r>
          </w:p>
        </w:tc>
        <w:tc>
          <w:tcPr>
            <w:tcW w:w="55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杨木水库生活饮用水水源保护区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ZH22042210009</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二龙湖国家级水产种质资源保护区</w:t>
            </w:r>
          </w:p>
        </w:tc>
        <w:tc>
          <w:tcPr>
            <w:tcW w:w="40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ZH22042210010</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东辽县黑土地保护区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kern w:val="0"/>
                <w:sz w:val="20"/>
                <w:szCs w:val="20"/>
              </w:rPr>
            </w:pP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color w:val="FF0000"/>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ZH22042210011</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东辽县辽河流域水土保持生态功能生态保护红线</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2生态保护红线内湿地公园执行《中华人民共和国湿地保护法》《湿地保护管理规定》</w:t>
            </w:r>
            <w:r>
              <w:rPr>
                <w:rFonts w:hint="eastAsia" w:ascii="Times New Roman" w:hAnsi="Times New Roman" w:eastAsia="仿宋" w:cs="Times New Roman"/>
                <w:kern w:val="0"/>
                <w:sz w:val="20"/>
                <w:szCs w:val="20"/>
              </w:rPr>
              <w:t>《国家级自然公园管理办法（试行）》</w:t>
            </w:r>
            <w:r>
              <w:rPr>
                <w:rFonts w:ascii="Times New Roman" w:hAnsi="Times New Roman" w:eastAsia="仿宋" w:cs="Times New Roman"/>
                <w:kern w:val="0"/>
                <w:sz w:val="20"/>
                <w:szCs w:val="20"/>
              </w:rPr>
              <w:t>《吉林省湿地保护条例》《关于特别是作为水禽栖息地的国际重要湿地公约》相关要求。</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tc>
        <w:tc>
          <w:tcPr>
            <w:tcW w:w="965" w:type="pc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水土保持、饮用水水源保护区、水产种质资源保护区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ZH22042210012</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东辽县水土保持功能重要区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ascii="Times New Roman" w:hAnsi="Times New Roman" w:eastAsia="仿宋" w:cs="Times New Roman"/>
                <w:sz w:val="20"/>
                <w:szCs w:val="20"/>
              </w:rPr>
              <w:t>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水土保持、黑土地保护区</w:t>
            </w:r>
          </w:p>
          <w:p>
            <w:pPr>
              <w:jc w:val="left"/>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ZH22042210013</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东辽县水土流失敏感区</w:t>
            </w:r>
          </w:p>
        </w:tc>
        <w:tc>
          <w:tcPr>
            <w:tcW w:w="407" w:type="pc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3" w:type="pct"/>
            <w:tcBorders>
              <w:left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5黑土地保护区执行《吉林省黑土地保护条例》相关要求。推广秸秆还田、机械深松、施用有机肥、土壤养分调控等技术；推行“一翻两免”耕作技术模式；建立农牧结合、种养循环试点，有效利用畜禽粪便资源。</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p>
            <w:pPr>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ZH22042220001</w:t>
            </w:r>
          </w:p>
        </w:tc>
        <w:tc>
          <w:tcPr>
            <w:tcW w:w="550" w:type="pct"/>
            <w:vMerge w:val="restart"/>
            <w:shd w:val="clear" w:color="auto" w:fill="auto"/>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吉林辽源高新技术产业开发区</w:t>
            </w:r>
          </w:p>
        </w:tc>
        <w:tc>
          <w:tcPr>
            <w:tcW w:w="407" w:type="pct"/>
            <w:vMerge w:val="restart"/>
            <w:tcBorders>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65" w:type="pct"/>
            <w:vMerge w:val="restart"/>
            <w:tcBorders>
              <w:left w:val="single" w:color="auto" w:sz="4" w:space="0"/>
              <w:right w:val="single" w:color="auto" w:sz="4" w:space="0"/>
            </w:tcBorders>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辽源强势产业发展的重要载体、对外开放的重要“窗口”、引领辽源经济快跑的“火车头”</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装备制造、新型材料、医药健康、纺织袜业、商贸物流、精细化工、新能源产业</w:t>
            </w:r>
          </w:p>
          <w:p>
            <w:pPr>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园区规划环评、《企业事业单位突发环境事件应急预案备案管理办法（试行）》《中共吉林省委 吉林省人民政府关于深入打好污染防治攻坚战的实施意见》《吉林省减污降碳协同增效实施方案》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vMerge w:val="continue"/>
            <w:shd w:val="clear" w:color="auto" w:fill="auto"/>
            <w:vAlign w:val="center"/>
          </w:tcPr>
          <w:p>
            <w:pPr>
              <w:widowControl/>
              <w:jc w:val="left"/>
              <w:rPr>
                <w:rFonts w:ascii="Times New Roman" w:hAnsi="Times New Roman" w:eastAsia="仿宋" w:cs="Times New Roman"/>
                <w:sz w:val="20"/>
                <w:szCs w:val="20"/>
              </w:rPr>
            </w:pPr>
          </w:p>
        </w:tc>
        <w:tc>
          <w:tcPr>
            <w:tcW w:w="550" w:type="pct"/>
            <w:vMerge w:val="continue"/>
            <w:shd w:val="clear" w:color="auto" w:fill="auto"/>
            <w:vAlign w:val="center"/>
          </w:tcPr>
          <w:p>
            <w:pPr>
              <w:widowControl/>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65" w:type="pct"/>
            <w:vMerge w:val="continue"/>
            <w:tcBorders>
              <w:left w:val="single" w:color="auto" w:sz="4" w:space="0"/>
              <w:right w:val="single" w:color="auto" w:sz="4" w:space="0"/>
            </w:tcBorders>
            <w:vAlign w:val="center"/>
          </w:tcPr>
          <w:p>
            <w:pPr>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vMerge w:val="continue"/>
            <w:shd w:val="clear" w:color="auto" w:fill="auto"/>
            <w:vAlign w:val="center"/>
          </w:tcPr>
          <w:p>
            <w:pPr>
              <w:widowControl/>
              <w:jc w:val="left"/>
              <w:rPr>
                <w:rFonts w:ascii="Times New Roman" w:hAnsi="Times New Roman" w:eastAsia="仿宋" w:cs="Times New Roman"/>
                <w:sz w:val="20"/>
                <w:szCs w:val="20"/>
              </w:rPr>
            </w:pPr>
          </w:p>
        </w:tc>
        <w:tc>
          <w:tcPr>
            <w:tcW w:w="550" w:type="pct"/>
            <w:vMerge w:val="continue"/>
            <w:shd w:val="clear" w:color="auto" w:fill="auto"/>
            <w:vAlign w:val="center"/>
          </w:tcPr>
          <w:p>
            <w:pPr>
              <w:widowControl/>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开发区应制定环境风险应急预案，成立应急组织机构，定期开展应急演练，提高区域环境风险防范能力。</w:t>
            </w:r>
          </w:p>
        </w:tc>
        <w:tc>
          <w:tcPr>
            <w:tcW w:w="965" w:type="pct"/>
            <w:vMerge w:val="continue"/>
            <w:tcBorders>
              <w:left w:val="single" w:color="auto" w:sz="4" w:space="0"/>
              <w:right w:val="single" w:color="auto" w:sz="4" w:space="0"/>
            </w:tcBorders>
            <w:vAlign w:val="center"/>
          </w:tcPr>
          <w:p>
            <w:pPr>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60" w:type="pct"/>
            <w:vMerge w:val="continue"/>
            <w:shd w:val="clear" w:color="auto" w:fill="auto"/>
            <w:vAlign w:val="center"/>
          </w:tcPr>
          <w:p>
            <w:pPr>
              <w:widowControl/>
              <w:jc w:val="left"/>
              <w:rPr>
                <w:rFonts w:ascii="Times New Roman" w:hAnsi="Times New Roman" w:eastAsia="仿宋" w:cs="Times New Roman"/>
                <w:sz w:val="20"/>
                <w:szCs w:val="20"/>
              </w:rPr>
            </w:pPr>
          </w:p>
        </w:tc>
        <w:tc>
          <w:tcPr>
            <w:tcW w:w="550" w:type="pct"/>
            <w:vMerge w:val="continue"/>
            <w:shd w:val="clear" w:color="auto" w:fill="auto"/>
            <w:vAlign w:val="center"/>
          </w:tcPr>
          <w:p>
            <w:pPr>
              <w:widowControl/>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65" w:type="pct"/>
            <w:vMerge w:val="continue"/>
            <w:tcBorders>
              <w:left w:val="single" w:color="auto" w:sz="4" w:space="0"/>
              <w:right w:val="single" w:color="auto" w:sz="4" w:space="0"/>
            </w:tcBorders>
            <w:vAlign w:val="center"/>
          </w:tcPr>
          <w:p>
            <w:pPr>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2</w:t>
            </w:r>
          </w:p>
        </w:tc>
        <w:tc>
          <w:tcPr>
            <w:tcW w:w="55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吉林东辽经济开发区</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65"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辽经济开发区成为吉林省乃至全国参与东北亚区域经济合作和东北两大城市群地区合作开发的战略支撑点和吉林省西南部地区重要的产业基地之一；在吉林省中南部经济占有较高份额；成为吉林省中南部地区规模较大的高技术制造业基地和物流中心之一；成为区域经济增长的“引擎”。成为全省工业集中区的排头兵和发展的典范。</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高新技术产业、汽车配套产业、装备制造产业、医药、生态环保产业及物流业等</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企业事业单位突发环境事件应急预案备案管理办法（试行）》《吉林省“十四五”节能减排综合实施方案》《污染地块土壤环境管理办法（试行）》《土壤污染防治行动计划》《工矿用地土壤环境管理办法（试行）》《吉林省新污染物治理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continue"/>
            <w:shd w:val="clear" w:color="auto" w:fill="auto"/>
            <w:vAlign w:val="center"/>
          </w:tcPr>
          <w:p>
            <w:pPr>
              <w:jc w:val="left"/>
              <w:rPr>
                <w:rFonts w:ascii="Times New Roman" w:hAnsi="Times New Roman" w:eastAsia="仿宋" w:cs="Times New Roman"/>
                <w:sz w:val="20"/>
                <w:szCs w:val="20"/>
              </w:rPr>
            </w:pPr>
          </w:p>
        </w:tc>
        <w:tc>
          <w:tcPr>
            <w:tcW w:w="550" w:type="pct"/>
            <w:vMerge w:val="continue"/>
            <w:shd w:val="clear" w:color="auto" w:fill="auto"/>
            <w:vAlign w:val="center"/>
          </w:tcPr>
          <w:p>
            <w:pPr>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bCs/>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sz w:val="20"/>
                <w:szCs w:val="20"/>
              </w:rPr>
              <w:t>重点行业污染治理升级改造，推进各类园区循环化改造；强化堆场扬尘控制。</w:t>
            </w:r>
          </w:p>
          <w:p>
            <w:pPr>
              <w:rPr>
                <w:rFonts w:ascii="Times New Roman" w:hAnsi="Times New Roman" w:eastAsia="仿宋" w:cs="Times New Roman"/>
                <w:bCs/>
                <w:sz w:val="20"/>
                <w:szCs w:val="20"/>
              </w:rPr>
            </w:pPr>
            <w:r>
              <w:rPr>
                <w:rFonts w:ascii="Times New Roman" w:hAnsi="Times New Roman" w:eastAsia="仿宋" w:cs="Times New Roman"/>
                <w:bCs/>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bCs/>
                <w:sz w:val="20"/>
                <w:szCs w:val="20"/>
              </w:rPr>
              <w:t>4执行《吉林省新污染物治理实施方案》相关要求，加强新污染物多环境介质协同治理，全面强化清洁生产和绿色制造。</w:t>
            </w:r>
          </w:p>
        </w:tc>
        <w:tc>
          <w:tcPr>
            <w:tcW w:w="965" w:type="pct"/>
            <w:vMerge w:val="continue"/>
            <w:tcBorders>
              <w:left w:val="single" w:color="auto" w:sz="4" w:space="0"/>
              <w:right w:val="single" w:color="auto" w:sz="4" w:space="0"/>
            </w:tcBorders>
            <w:vAlign w:val="center"/>
          </w:tcPr>
          <w:p>
            <w:pPr>
              <w:rPr>
                <w:rFonts w:ascii="Times New Roman" w:hAnsi="Times New Roman" w:eastAsia="仿宋" w:cs="Times New Roman"/>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continue"/>
            <w:shd w:val="clear" w:color="auto" w:fill="auto"/>
            <w:vAlign w:val="center"/>
          </w:tcPr>
          <w:p>
            <w:pPr>
              <w:jc w:val="left"/>
              <w:rPr>
                <w:rFonts w:ascii="Times New Roman" w:hAnsi="Times New Roman" w:eastAsia="仿宋" w:cs="Times New Roman"/>
                <w:sz w:val="20"/>
                <w:szCs w:val="20"/>
              </w:rPr>
            </w:pPr>
          </w:p>
        </w:tc>
        <w:tc>
          <w:tcPr>
            <w:tcW w:w="550" w:type="pct"/>
            <w:vMerge w:val="continue"/>
            <w:shd w:val="clear" w:color="auto" w:fill="auto"/>
            <w:vAlign w:val="center"/>
          </w:tcPr>
          <w:p>
            <w:pPr>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6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ZH2204222000</w:t>
            </w:r>
            <w:r>
              <w:rPr>
                <w:rFonts w:hint="eastAsia" w:ascii="Times New Roman" w:hAnsi="Times New Roman" w:eastAsia="仿宋" w:cs="Times New Roman"/>
                <w:kern w:val="0"/>
                <w:sz w:val="20"/>
                <w:szCs w:val="20"/>
              </w:rPr>
              <w:t>3</w:t>
            </w:r>
          </w:p>
        </w:tc>
        <w:tc>
          <w:tcPr>
            <w:tcW w:w="55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东辽县三产融合发展园区</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23" w:type="pct"/>
            <w:tcBorders>
              <w:left w:val="single" w:color="auto" w:sz="4" w:space="0"/>
              <w:right w:val="single" w:color="auto" w:sz="4" w:space="0"/>
            </w:tcBorders>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bCs/>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sz w:val="20"/>
                <w:szCs w:val="20"/>
              </w:rPr>
              <w:t>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bCs/>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65" w:type="pct"/>
            <w:vMerge w:val="restart"/>
            <w:tcBorders>
              <w:left w:val="single" w:color="auto" w:sz="4" w:space="0"/>
              <w:right w:val="single" w:color="auto" w:sz="4" w:space="0"/>
            </w:tcBorders>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《企业事业单位突发环境事件应急预案备案管理办法（试行）》《中共吉林省委 吉林省人民政府关于深入打好污染防治攻坚战的实施意见》《吉林省减污降碳协同增效实施方案》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1推广园区集中供热，园区新建供热设施执行特别排放限值</w:t>
            </w:r>
            <w:r>
              <w:rPr>
                <w:rFonts w:hint="eastAsia" w:ascii="Times New Roman" w:hAnsi="Times New Roman" w:eastAsia="仿宋" w:cs="Times New Roman"/>
                <w:kern w:val="0"/>
                <w:sz w:val="20"/>
                <w:szCs w:val="20"/>
              </w:rPr>
              <w:t>或按省、市相关文件要求执行排放浓度限值</w:t>
            </w:r>
            <w:r>
              <w:rPr>
                <w:rFonts w:ascii="Times New Roman" w:hAnsi="Times New Roman" w:eastAsia="仿宋" w:cs="Times New Roman"/>
                <w:kern w:val="0"/>
                <w:sz w:val="20"/>
                <w:szCs w:val="20"/>
              </w:rPr>
              <w:t>。</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w:t>
            </w:r>
          </w:p>
        </w:tc>
        <w:tc>
          <w:tcPr>
            <w:tcW w:w="96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6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ZH2204222000</w:t>
            </w:r>
            <w:r>
              <w:rPr>
                <w:rFonts w:hint="eastAsia" w:ascii="Times New Roman" w:hAnsi="Times New Roman" w:eastAsia="仿宋" w:cs="Times New Roman"/>
                <w:kern w:val="0"/>
                <w:sz w:val="20"/>
                <w:szCs w:val="20"/>
              </w:rPr>
              <w:t>4</w:t>
            </w:r>
          </w:p>
        </w:tc>
        <w:tc>
          <w:tcPr>
            <w:tcW w:w="55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东辽县城镇开发边界</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2除在安全或者产业布局等方面有特殊要求的项目外，应避免大规模排放水污染物的项目布局建设。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65" w:type="pct"/>
            <w:vMerge w:val="restart"/>
            <w:tcBorders>
              <w:left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《关于开展畜禽养殖禁养区划定工作的通知》《畜禽规模养殖污染防治条例》《吉林省减污降碳协同增效实施方案》《中共吉林省委 吉林省人民政府关于深入打好污染防治攻坚战的实施意见》《吉林省生态环境保护“十四五”规划》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60" w:type="pct"/>
            <w:vMerge w:val="continue"/>
            <w:shd w:val="clear" w:color="auto" w:fill="auto"/>
            <w:vAlign w:val="center"/>
          </w:tcPr>
          <w:p>
            <w:pPr>
              <w:jc w:val="left"/>
              <w:rPr>
                <w:rFonts w:ascii="Times New Roman" w:hAnsi="Times New Roman" w:eastAsia="仿宋" w:cs="Times New Roman"/>
                <w:sz w:val="20"/>
                <w:szCs w:val="20"/>
              </w:rPr>
            </w:pPr>
          </w:p>
        </w:tc>
        <w:tc>
          <w:tcPr>
            <w:tcW w:w="550" w:type="pct"/>
            <w:vMerge w:val="continue"/>
            <w:shd w:val="clear" w:color="auto" w:fill="auto"/>
            <w:vAlign w:val="center"/>
          </w:tcPr>
          <w:p>
            <w:pPr>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65"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kern w:val="0"/>
                <w:sz w:val="20"/>
                <w:szCs w:val="20"/>
              </w:rPr>
            </w:pPr>
          </w:p>
        </w:tc>
        <w:tc>
          <w:tcPr>
            <w:tcW w:w="423"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除在安全或者产业布局等方面有特殊要求的项目外，应严格控制新建、扩建采用高污染燃料的项目和设施。</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5</w:t>
            </w:r>
          </w:p>
        </w:tc>
        <w:tc>
          <w:tcPr>
            <w:tcW w:w="550" w:type="pct"/>
            <w:vMerge w:val="restar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东辽县大气环境高排放重点管控区</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6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基于“三线”研究成果提出，结合《吉林省减污降碳协同增效实施方案》《吉林省生态环境保护“十四五”规划》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1深化工业污染治理，持续推进工业污染源全面达标排放，加大工业污染源烟气高效脱硫脱硝、除尘改造力度。重点行业污染治理升级改造</w:t>
            </w:r>
            <w:r>
              <w:rPr>
                <w:rFonts w:hint="eastAsia"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color w:val="FF0000"/>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color w:val="FF0000"/>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6</w:t>
            </w:r>
          </w:p>
        </w:tc>
        <w:tc>
          <w:tcPr>
            <w:tcW w:w="55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东辽县大气环境布局敏感重点管控区</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1除在安全或者产业布局等方面有特殊要求的项目外，宜避免大规模排放大气污染物的项目布局建设。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2持续开展“散乱污”企业排查整治。</w:t>
            </w:r>
          </w:p>
        </w:tc>
        <w:tc>
          <w:tcPr>
            <w:tcW w:w="96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《中共吉林省委 吉林省人民政府关于深入打好污染防治攻坚战的实施意见》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60" w:type="pct"/>
            <w:vMerge w:val="continue"/>
            <w:shd w:val="clear" w:color="auto" w:fill="auto"/>
            <w:vAlign w:val="center"/>
          </w:tcPr>
          <w:p>
            <w:pPr>
              <w:widowControl/>
              <w:jc w:val="left"/>
              <w:textAlignment w:val="center"/>
              <w:rPr>
                <w:rFonts w:ascii="Times New Roman" w:hAnsi="Times New Roman" w:eastAsia="仿宋" w:cs="Times New Roman"/>
                <w:kern w:val="0"/>
                <w:sz w:val="24"/>
                <w:szCs w:val="24"/>
                <w:lang w:bidi="ar"/>
              </w:rPr>
            </w:pPr>
          </w:p>
        </w:tc>
        <w:tc>
          <w:tcPr>
            <w:tcW w:w="550" w:type="pct"/>
            <w:vMerge w:val="continue"/>
            <w:shd w:val="clear" w:color="auto" w:fill="auto"/>
            <w:vAlign w:val="center"/>
          </w:tcPr>
          <w:p>
            <w:pPr>
              <w:widowControl/>
              <w:jc w:val="left"/>
              <w:textAlignment w:val="center"/>
              <w:rPr>
                <w:rFonts w:ascii="Times New Roman" w:hAnsi="Times New Roman" w:eastAsia="仿宋" w:cs="Times New Roman"/>
                <w:kern w:val="0"/>
                <w:sz w:val="24"/>
                <w:szCs w:val="24"/>
                <w:lang w:bidi="ar"/>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460" w:type="pct"/>
            <w:vMerge w:val="continue"/>
            <w:shd w:val="clear" w:color="auto" w:fill="auto"/>
            <w:vAlign w:val="center"/>
          </w:tcPr>
          <w:p>
            <w:pPr>
              <w:jc w:val="left"/>
              <w:rPr>
                <w:rFonts w:ascii="Times New Roman" w:hAnsi="Times New Roman" w:eastAsia="仿宋" w:cs="Times New Roman"/>
                <w:kern w:val="0"/>
                <w:sz w:val="20"/>
                <w:szCs w:val="20"/>
              </w:rPr>
            </w:pPr>
          </w:p>
        </w:tc>
        <w:tc>
          <w:tcPr>
            <w:tcW w:w="550" w:type="pct"/>
            <w:vMerge w:val="continue"/>
            <w:shd w:val="clear" w:color="auto" w:fill="auto"/>
            <w:vAlign w:val="center"/>
          </w:tcPr>
          <w:p>
            <w:pPr>
              <w:jc w:val="left"/>
              <w:rPr>
                <w:rFonts w:ascii="Times New Roman" w:hAnsi="Times New Roman" w:eastAsia="仿宋" w:cs="Times New Roman"/>
                <w:kern w:val="0"/>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7</w:t>
            </w:r>
          </w:p>
        </w:tc>
        <w:tc>
          <w:tcPr>
            <w:tcW w:w="55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东辽县水环境农业污染重点管控区</w:t>
            </w:r>
          </w:p>
        </w:tc>
        <w:tc>
          <w:tcPr>
            <w:tcW w:w="407" w:type="pc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tc>
        <w:tc>
          <w:tcPr>
            <w:tcW w:w="965" w:type="pc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8</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东辽县水环境质量不达标重点管控区</w:t>
            </w:r>
          </w:p>
        </w:tc>
        <w:tc>
          <w:tcPr>
            <w:tcW w:w="40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未完成水环境质量改善目标要求的地区，暂停审批新增重点水污染物排放总量的建设项目。新建、改建、扩建重点行业建设项目应提出有效的区域削减方案，主要污染物实行区域倍量削减。</w:t>
            </w:r>
          </w:p>
        </w:tc>
        <w:tc>
          <w:tcPr>
            <w:tcW w:w="965" w:type="pc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水环境质量不达标重点管控区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ZH2204222000</w:t>
            </w:r>
            <w:r>
              <w:rPr>
                <w:rFonts w:hint="eastAsia" w:ascii="Times New Roman" w:hAnsi="Times New Roman" w:eastAsia="仿宋" w:cs="Times New Roman"/>
                <w:sz w:val="20"/>
                <w:szCs w:val="20"/>
              </w:rPr>
              <w:t>9</w:t>
            </w:r>
          </w:p>
        </w:tc>
        <w:tc>
          <w:tcPr>
            <w:tcW w:w="550"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东辽县建设用地污染风险重点管控区</w:t>
            </w:r>
          </w:p>
        </w:tc>
        <w:tc>
          <w:tcPr>
            <w:tcW w:w="407" w:type="pct"/>
            <w:vMerge w:val="restart"/>
            <w:tcBorders>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65"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w:t>
            </w:r>
            <w:r>
              <w:rPr>
                <w:rFonts w:ascii="Times New Roman" w:hAnsi="Times New Roman" w:eastAsia="仿宋" w:cs="Times New Roman"/>
                <w:kern w:val="0"/>
                <w:sz w:val="20"/>
                <w:szCs w:val="20"/>
              </w:rPr>
              <w:t>《污染地块土壤环境管理办法（试行）》《工矿用地土壤环境管理办法（试行）》《吉林省土壤环境质量巩固提升行动方案》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trPr>
        <w:tc>
          <w:tcPr>
            <w:tcW w:w="460" w:type="pct"/>
            <w:vMerge w:val="continue"/>
            <w:shd w:val="clear" w:color="auto" w:fill="auto"/>
            <w:vAlign w:val="center"/>
          </w:tcPr>
          <w:p>
            <w:pPr>
              <w:jc w:val="left"/>
              <w:rPr>
                <w:rFonts w:ascii="Times New Roman" w:hAnsi="Times New Roman" w:eastAsia="仿宋" w:cs="Times New Roman"/>
                <w:sz w:val="20"/>
                <w:szCs w:val="20"/>
              </w:rPr>
            </w:pPr>
          </w:p>
        </w:tc>
        <w:tc>
          <w:tcPr>
            <w:tcW w:w="550" w:type="pct"/>
            <w:vMerge w:val="continue"/>
            <w:shd w:val="clear" w:color="auto" w:fill="auto"/>
            <w:vAlign w:val="center"/>
          </w:tcPr>
          <w:p>
            <w:pPr>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vMerge w:val="continue"/>
            <w:shd w:val="clear" w:color="auto" w:fill="auto"/>
            <w:vAlign w:val="center"/>
          </w:tcPr>
          <w:p>
            <w:pPr>
              <w:jc w:val="left"/>
              <w:rPr>
                <w:rFonts w:ascii="Times New Roman" w:hAnsi="Times New Roman" w:eastAsia="仿宋" w:cs="Times New Roman"/>
                <w:sz w:val="20"/>
                <w:szCs w:val="20"/>
              </w:rPr>
            </w:pPr>
          </w:p>
        </w:tc>
        <w:tc>
          <w:tcPr>
            <w:tcW w:w="550" w:type="pct"/>
            <w:vMerge w:val="continue"/>
            <w:shd w:val="clear" w:color="auto" w:fill="auto"/>
            <w:vAlign w:val="center"/>
          </w:tcPr>
          <w:p>
            <w:pPr>
              <w:jc w:val="left"/>
              <w:rPr>
                <w:rFonts w:ascii="Times New Roman" w:hAnsi="Times New Roman" w:eastAsia="仿宋" w:cs="Times New Roman"/>
                <w:sz w:val="20"/>
                <w:szCs w:val="20"/>
              </w:rPr>
            </w:pPr>
          </w:p>
        </w:tc>
        <w:tc>
          <w:tcPr>
            <w:tcW w:w="407" w:type="pct"/>
            <w:vMerge w:val="continue"/>
            <w:tcBorders>
              <w:right w:val="single" w:color="auto" w:sz="4" w:space="0"/>
            </w:tcBorders>
            <w:shd w:val="clear" w:color="auto" w:fill="auto"/>
            <w:vAlign w:val="center"/>
          </w:tcPr>
          <w:p>
            <w:pPr>
              <w:jc w:val="left"/>
              <w:rPr>
                <w:rFonts w:ascii="Times New Roman" w:hAnsi="Times New Roman" w:eastAsia="仿宋" w:cs="Times New Roman"/>
                <w:sz w:val="20"/>
                <w:szCs w:val="20"/>
              </w:rPr>
            </w:pPr>
          </w:p>
        </w:tc>
        <w:tc>
          <w:tcPr>
            <w:tcW w:w="42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93"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65"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46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ZH22042230001</w:t>
            </w:r>
          </w:p>
        </w:tc>
        <w:tc>
          <w:tcPr>
            <w:tcW w:w="55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东辽县一般管控区</w:t>
            </w:r>
          </w:p>
        </w:tc>
        <w:tc>
          <w:tcPr>
            <w:tcW w:w="407" w:type="pct"/>
            <w:tcBorders>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2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3" w:type="pct"/>
            <w:tcBorders>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65" w:type="pct"/>
            <w:tcBorders>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keepNext/>
        <w:keepLines/>
        <w:spacing w:before="260" w:after="260"/>
        <w:outlineLvl w:val="1"/>
        <w:rPr>
          <w:rFonts w:ascii="Times New Roman" w:hAnsi="Times New Roman" w:eastAsia="仿宋" w:cs="Times New Roman"/>
          <w:b/>
          <w:bCs/>
          <w:sz w:val="32"/>
          <w:szCs w:val="32"/>
        </w:rPr>
      </w:pPr>
      <w:bookmarkStart w:id="106" w:name="_Toc21768"/>
      <w:r>
        <w:rPr>
          <w:rFonts w:ascii="Times New Roman" w:hAnsi="Times New Roman" w:eastAsia="仿宋" w:cs="Times New Roman"/>
          <w:b/>
          <w:bCs/>
          <w:sz w:val="32"/>
          <w:szCs w:val="32"/>
        </w:rPr>
        <w:t>（三十）通化市东昌区生态环境准入清单</w:t>
      </w:r>
      <w:bookmarkEnd w:id="106"/>
    </w:p>
    <w:p>
      <w:pPr>
        <w:jc w:val="center"/>
        <w:rPr>
          <w:rFonts w:ascii="Times New Roman" w:hAnsi="Times New Roman" w:eastAsia="仿宋" w:cs="Times New Roman"/>
          <w:b/>
        </w:rPr>
      </w:pPr>
      <w:r>
        <w:rPr>
          <w:rFonts w:ascii="Times New Roman" w:hAnsi="Times New Roman" w:eastAsia="仿宋" w:cs="Times New Roman"/>
          <w:b/>
        </w:rPr>
        <w:t>表4-30-1 通化市东昌区区域特征研判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1.《吉林省主体功能区规划》中的国家重要生态功能区。</w:t>
            </w:r>
          </w:p>
          <w:p>
            <w:pPr>
              <w:rPr>
                <w:rFonts w:ascii="Times New Roman" w:hAnsi="Times New Roman" w:eastAsia="仿宋" w:cs="Times New Roman"/>
                <w:kern w:val="0"/>
                <w:szCs w:val="21"/>
              </w:rPr>
            </w:pPr>
            <w:r>
              <w:rPr>
                <w:rFonts w:ascii="Times New Roman" w:hAnsi="Times New Roman" w:eastAsia="仿宋" w:cs="Times New Roman"/>
                <w:kern w:val="0"/>
                <w:szCs w:val="21"/>
              </w:rPr>
              <w:t>位于长白山森林生态功能区，属于国家级水源涵养型重点生态功能区。</w:t>
            </w:r>
          </w:p>
          <w:p>
            <w:pPr>
              <w:rPr>
                <w:rFonts w:ascii="Times New Roman" w:hAnsi="Times New Roman" w:eastAsia="仿宋" w:cs="Times New Roman"/>
                <w:kern w:val="0"/>
                <w:szCs w:val="21"/>
              </w:rPr>
            </w:pPr>
            <w:r>
              <w:rPr>
                <w:rFonts w:ascii="Times New Roman" w:hAnsi="Times New Roman" w:eastAsia="仿宋" w:cs="Times New Roman"/>
                <w:kern w:val="0"/>
                <w:szCs w:val="21"/>
              </w:rPr>
              <w:t>2. 隶属于吉林省通化市，位于吉林省东南部，东北与二道江区接壤，南与集安市相连，西、西北、东南与通化县毗邻。总面积375.276平方千米。辖8个街道、1个镇、2个乡、1个省级经济开发区。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通化因城兴药、以药兴市，产城融合、特色突出，东昌因市而荣、市带区兴。“十四五”时期，东昌在加快绿色转型全面振兴上取得实质性突破，以“一二三四”为目标任务：即明确“一个定位”，打造通化市高质量发展核心区；建设“两座新城”，建设高铁生态新城和通化冰雪产业示范新城，打造通化“双百”中等城市重要支撑区；提升“三个商圈”，推动江东、江西、江南三个商圈提档升级，打造吉林东南部现代服务业品质发展引领区；规划“四条沟谷”，规划建设金厂沟、通天沟、柳条沟、保安沟“四条沟谷”，打造通化城市能级提升先行区。努力实现振兴发展取得新突破、科创能力实现新提升、改革开放迈出新步伐、城乡建设取得新成效、数字经济聚合新动力、生态文明开创新局面、民生福祉达到新水平、治理效能再上新台阶发展目标。</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水土流失。</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通化市集中式饮用水水源保护区、白鸡峰国家森林公园。</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kern w:val="0"/>
                <w:szCs w:val="21"/>
              </w:rPr>
            </w:pPr>
            <w:r>
              <w:rPr>
                <w:rFonts w:ascii="Times New Roman" w:hAnsi="Times New Roman" w:eastAsia="仿宋" w:cs="Times New Roman"/>
                <w:kern w:val="0"/>
                <w:szCs w:val="21"/>
              </w:rPr>
              <w:t>（2）确保人类开发活动不挤占耕地。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（3）加强水土流失预防和治理。</w:t>
            </w:r>
          </w:p>
        </w:tc>
      </w:tr>
    </w:tbl>
    <w:p>
      <w:pPr>
        <w:jc w:val="center"/>
        <w:rPr>
          <w:rFonts w:ascii="Times New Roman" w:hAnsi="Times New Roman" w:eastAsia="仿宋" w:cs="Times New Roman"/>
          <w:b/>
        </w:rPr>
      </w:pPr>
      <w:r>
        <w:rPr>
          <w:rFonts w:ascii="Times New Roman" w:hAnsi="Times New Roman" w:eastAsia="仿宋" w:cs="Times New Roman"/>
          <w:b/>
        </w:rPr>
        <w:t>表4-30-2 通化市东昌区生态环境准入清单</w:t>
      </w:r>
    </w:p>
    <w:bookmarkEnd w:id="96"/>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68"/>
        <w:gridCol w:w="1667"/>
        <w:gridCol w:w="1866"/>
        <w:gridCol w:w="9218"/>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07"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394"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41"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179"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46"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ZH22050210001</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吉林通化白鸡峰国家森林公园</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ZH22050210002</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通化市区生活饮用水水源保护区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kern w:val="0"/>
                <w:sz w:val="20"/>
                <w:szCs w:val="20"/>
              </w:rPr>
              <w:t>饮用水水源保护区执行《中华人民共和国水污染防治法》《饮用水水源保护区污染防治管理规定》《吉林省城镇饮用水水源保护条例》相关要求。</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ZH22050210003</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东昌区水源涵养功能重要区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ZH22050210004</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东昌区鸭绿江生物多样性维护功能生态保护红线</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ZH22050210005</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东昌区生物多样性重要区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ZH22050210006</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东昌区防风固沙重要区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ZH22050210007</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东昌区水土保持功能重要区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ZH22050210008</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东昌区水土流失敏感区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46"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ZH22050220001</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吉林东昌经济开发区</w:t>
            </w:r>
          </w:p>
        </w:tc>
        <w:tc>
          <w:tcPr>
            <w:tcW w:w="39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1严格控制高耗水、高污染行业发展。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2对于不符合开发区产业定位的企业，不得扩建、新增污染物，并逐步迁出。</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3禁止引进能耗、物耗较大，污染较重的项目。</w:t>
            </w:r>
          </w:p>
        </w:tc>
        <w:tc>
          <w:tcPr>
            <w:tcW w:w="946"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医药、包装印刷、镁合金、仓储物流、现代服务业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w:t>
            </w:r>
            <w:r>
              <w:rPr>
                <w:rFonts w:ascii="Times New Roman" w:hAnsi="Times New Roman" w:eastAsia="仿宋" w:cs="Times New Roman"/>
                <w:kern w:val="0"/>
                <w:sz w:val="20"/>
                <w:szCs w:val="20"/>
              </w:rPr>
              <w:t>《污染地块土壤环境管理办法（试行）》《工矿用地土壤环境管理办法（试行）》《中共吉林省委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17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17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4积极推进区内供热（汽）管网建设，尽快实现开发区集中供热。在实现开发区集中供热之前，应采用电加热或清洁能源作为过渡热源。园区新建供热设施须执行排放浓度限值。</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ZH22050220002</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通化国际内陆港务区</w:t>
            </w:r>
          </w:p>
        </w:tc>
        <w:tc>
          <w:tcPr>
            <w:tcW w:w="39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3禁止在化工园区外新建、扩建化工项目，未纳入国家《石化产业规划布局方案》的新建炼化项目一律不得建设。</w:t>
            </w:r>
          </w:p>
        </w:tc>
        <w:tc>
          <w:tcPr>
            <w:tcW w:w="946"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进出口加工产业、临港产业、大健康产业、中医药产业、医药化工、精细化工、化工新材料产业、加工制造产业、商贸加工产业、绿色食品加工业、中草药种植业、旅游业、临空产业、先进装备制造业、高新技术产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资源开发效率</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2完成吉林省下达的产能置换要求。各产业执行对应的清洁生产标准。</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ZH22050220003</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通化医药高新技术产业开发区</w:t>
            </w:r>
          </w:p>
        </w:tc>
        <w:tc>
          <w:tcPr>
            <w:tcW w:w="39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2严格控制高耗水、高污染行业发展。</w:t>
            </w:r>
          </w:p>
        </w:tc>
        <w:tc>
          <w:tcPr>
            <w:tcW w:w="946"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全国医药健康产业创新驱动发展的示范区；全国医药健康产业高质量发展的先行区；吉林省大健康产业集聚高地；通化市产城融合生态新城。</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人参深加工、装备制造、新材料四大优势产业为主体，重点发展中成药、化学制药、生物制药、医疗器械、消杀产品、保健用品、化妆品、食品、现代服务、旅游、商贸流通、人参深加工、医疗器械、药用辅料、新材料、装备制造、金属制品加工、建材加工、包装印刷及高新技术等产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46" w:type="pct"/>
            <w:vMerge w:val="continue"/>
            <w:vAlign w:val="center"/>
          </w:tcPr>
          <w:p>
            <w:pPr>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2严格落实规划环评及其批复文件制定的环境风险防范措施。</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6"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3积极推进区内供热（汽）管网建设，尽快实现开发区集中供热。在实现开发区集中供热之前，应采用电加热或清洁能源作为过渡热源。园区新建供热设施须执行排放浓度限值。</w:t>
            </w:r>
          </w:p>
        </w:tc>
        <w:tc>
          <w:tcPr>
            <w:tcW w:w="946"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ZH22050220004</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东昌区城镇开发边界</w:t>
            </w:r>
          </w:p>
        </w:tc>
        <w:tc>
          <w:tcPr>
            <w:tcW w:w="39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46" w:type="pct"/>
            <w:vMerge w:val="restar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重点发展生产性服务业、健康产业和物流业。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4" w:type="pct"/>
            <w:vMerge w:val="continue"/>
            <w:noWrap/>
            <w:vAlign w:val="center"/>
          </w:tcPr>
          <w:p>
            <w:pPr>
              <w:jc w:val="left"/>
              <w:rPr>
                <w:rFonts w:ascii="Times New Roman" w:hAnsi="Times New Roman" w:eastAsia="仿宋" w:cs="Times New Roman"/>
                <w:sz w:val="20"/>
                <w:szCs w:val="20"/>
              </w:rPr>
            </w:pPr>
          </w:p>
        </w:tc>
        <w:tc>
          <w:tcPr>
            <w:tcW w:w="44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46" w:type="pct"/>
            <w:vMerge w:val="continue"/>
            <w:vAlign w:val="center"/>
          </w:tcPr>
          <w:p>
            <w:pPr>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17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tc>
        <w:tc>
          <w:tcPr>
            <w:tcW w:w="946"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ZH22050220005</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东昌区大气环境布局敏感重点管控区</w:t>
            </w:r>
          </w:p>
        </w:tc>
        <w:tc>
          <w:tcPr>
            <w:tcW w:w="39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1"/>
              </w:rPr>
              <w:t>空间布局约束</w:t>
            </w:r>
          </w:p>
        </w:tc>
        <w:tc>
          <w:tcPr>
            <w:tcW w:w="2179"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1"/>
              </w:rPr>
              <w:t>除在安全或者产业布局等方面有特殊要求的项目外，宜避免大规模排放大气污染物的项目布局建设。</w:t>
            </w:r>
          </w:p>
        </w:tc>
        <w:tc>
          <w:tcPr>
            <w:tcW w:w="946" w:type="pct"/>
            <w:vMerge w:val="restart"/>
            <w:tcBorders>
              <w:top w:val="single" w:color="auto" w:sz="4" w:space="0"/>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kern w:val="0"/>
                <w:sz w:val="20"/>
                <w:szCs w:val="21"/>
              </w:rPr>
              <w:t>大气环境布局敏感重点管控区、建设用地污染风险重点管控区、高污染燃料禁燃区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基于“三线”研究成果提出，《污染地块土壤环境管理办法（试行）》《工矿用地土壤环境管理办法（试行）》《吉林省减污降碳协同增效实施方案》《中共吉林省委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sz w:val="20"/>
                <w:szCs w:val="20"/>
              </w:rPr>
            </w:pPr>
          </w:p>
        </w:tc>
        <w:tc>
          <w:tcPr>
            <w:tcW w:w="44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46"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sz w:val="20"/>
                <w:szCs w:val="20"/>
              </w:rPr>
            </w:pPr>
          </w:p>
        </w:tc>
        <w:tc>
          <w:tcPr>
            <w:tcW w:w="44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79"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46"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4" w:type="pct"/>
            <w:vMerge w:val="continue"/>
            <w:noWrap/>
            <w:vAlign w:val="center"/>
          </w:tcPr>
          <w:p>
            <w:pPr>
              <w:jc w:val="left"/>
              <w:rPr>
                <w:rFonts w:ascii="Times New Roman" w:hAnsi="Times New Roman" w:eastAsia="仿宋" w:cs="Times New Roman"/>
                <w:color w:val="FF0000"/>
                <w:sz w:val="20"/>
                <w:szCs w:val="20"/>
              </w:rPr>
            </w:pPr>
          </w:p>
        </w:tc>
        <w:tc>
          <w:tcPr>
            <w:tcW w:w="44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79"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tc>
        <w:tc>
          <w:tcPr>
            <w:tcW w:w="946"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ZH22050230001</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东昌区一般管控区</w:t>
            </w:r>
          </w:p>
        </w:tc>
        <w:tc>
          <w:tcPr>
            <w:tcW w:w="39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4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46" w:type="pct"/>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rPr>
      </w:pPr>
    </w:p>
    <w:p>
      <w:pPr>
        <w:keepNext/>
        <w:keepLines/>
        <w:spacing w:before="260" w:after="260"/>
        <w:outlineLvl w:val="1"/>
        <w:rPr>
          <w:rFonts w:ascii="Times New Roman" w:hAnsi="Times New Roman" w:eastAsia="仿宋" w:cs="Times New Roman"/>
          <w:b/>
          <w:bCs/>
          <w:sz w:val="32"/>
          <w:szCs w:val="32"/>
        </w:rPr>
      </w:pPr>
      <w:bookmarkStart w:id="107" w:name="_Toc17777"/>
      <w:r>
        <w:rPr>
          <w:rFonts w:ascii="Times New Roman" w:hAnsi="Times New Roman" w:eastAsia="仿宋" w:cs="Times New Roman"/>
          <w:b/>
          <w:bCs/>
          <w:sz w:val="32"/>
          <w:szCs w:val="32"/>
        </w:rPr>
        <w:t>（三十一）通化市二道江区生态环境准入清单</w:t>
      </w:r>
      <w:bookmarkEnd w:id="107"/>
    </w:p>
    <w:p>
      <w:pPr>
        <w:jc w:val="center"/>
        <w:rPr>
          <w:rFonts w:ascii="Times New Roman" w:hAnsi="Times New Roman" w:eastAsia="仿宋" w:cs="Times New Roman"/>
          <w:b/>
        </w:rPr>
      </w:pPr>
    </w:p>
    <w:p>
      <w:pPr>
        <w:jc w:val="center"/>
        <w:rPr>
          <w:rFonts w:ascii="Times New Roman" w:hAnsi="Times New Roman" w:eastAsia="仿宋" w:cs="Times New Roman"/>
          <w:b/>
        </w:rPr>
      </w:pPr>
    </w:p>
    <w:p>
      <w:pPr>
        <w:jc w:val="center"/>
        <w:rPr>
          <w:rFonts w:ascii="Times New Roman" w:hAnsi="Times New Roman" w:eastAsia="仿宋" w:cs="Times New Roman"/>
          <w:b/>
        </w:rPr>
      </w:pPr>
      <w:r>
        <w:rPr>
          <w:rFonts w:ascii="Times New Roman" w:hAnsi="Times New Roman" w:eastAsia="仿宋" w:cs="Times New Roman"/>
          <w:b/>
        </w:rPr>
        <w:t>表4-31-1通化市二道江区区域特征研判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1.《吉林省主体功能区规划》中的重点开发区域。</w:t>
            </w:r>
          </w:p>
          <w:p>
            <w:pPr>
              <w:rPr>
                <w:rFonts w:ascii="Times New Roman" w:hAnsi="Times New Roman" w:eastAsia="仿宋" w:cs="Times New Roman"/>
                <w:kern w:val="0"/>
                <w:szCs w:val="21"/>
              </w:rPr>
            </w:pPr>
            <w:r>
              <w:rPr>
                <w:rFonts w:ascii="Times New Roman" w:hAnsi="Times New Roman" w:eastAsia="仿宋" w:cs="Times New Roman"/>
                <w:kern w:val="0"/>
                <w:szCs w:val="21"/>
              </w:rPr>
              <w:t>2. 二道江区位于吉林省东南部，地处长白山西麓、浑江中游、通化市的东郊，幅员面积378平方公里，辖三镇一乡、两个街道办事处、19个行政村，全区总人口14万。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打造全国资源枯竭型城市转型发展的样板区、吉林省循环经济发展的示范区、通化市先进制造业改造提升的核心区。</w:t>
            </w:r>
          </w:p>
          <w:p>
            <w:pPr>
              <w:rPr>
                <w:rFonts w:ascii="Times New Roman" w:hAnsi="Times New Roman" w:eastAsia="仿宋" w:cs="Times New Roman"/>
                <w:kern w:val="0"/>
                <w:szCs w:val="21"/>
              </w:rPr>
            </w:pPr>
            <w:r>
              <w:rPr>
                <w:rFonts w:ascii="Times New Roman" w:hAnsi="Times New Roman" w:eastAsia="仿宋" w:cs="Times New Roman"/>
                <w:kern w:val="0"/>
                <w:szCs w:val="21"/>
              </w:rPr>
              <w:t>坚持把接续替代产业集聚发展作为二道江区经济转型的主导方向，以产业链条为纽带，以产业园区为载体，打造一批专业特色鲜明、品牌形象突出、服务平台完备的现代产业集群。围绕提升产业核心竞争力，大力延伸资源型产业链条，打造优势产业基地，做大做强制造业；依托产业基础，挖掘潜在优势，促进新兴科技与产业的深度融合，扶持发展生物医药、特色新材料等战略性新兴产业。按照“突出物流业，壮大旅游业，提升商贸业”的发展思路，不断完善与接续替代产业相配套、城乡居民生活相适应的现代服务业体系。以特色农业技术为支撑，以创新农业经营模式为动力，大力发展以“高产、优质、高效、安全、低耗、生态”为特征的特色农业。加快由单一的资源型经济向复合型的综合经济转变，打造一、二、三产业协同带动经济发展的新局面。</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采煤沉陷区生态环境恶化，植被破坏、水土流失、房屋和基础设施损毁严重。地质受损，地面下沉，形成“漏斗”，地表水和地下水流失严重。</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通化市区生活饮用水水源保护区、通化县大罗圈沟河特有鱼类省级水产种质资源保护区。</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kern w:val="0"/>
                <w:szCs w:val="21"/>
              </w:rPr>
            </w:pPr>
            <w:r>
              <w:rPr>
                <w:rFonts w:ascii="Times New Roman" w:hAnsi="Times New Roman" w:eastAsia="仿宋" w:cs="Times New Roman"/>
                <w:kern w:val="0"/>
                <w:szCs w:val="21"/>
              </w:rPr>
              <w:t>（2）确保人类开发活动不挤占耕地。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（3）加强水土流失预防和治理。</w:t>
            </w:r>
          </w:p>
          <w:p>
            <w:pPr>
              <w:rPr>
                <w:rFonts w:ascii="Times New Roman" w:hAnsi="Times New Roman" w:eastAsia="仿宋" w:cs="Times New Roman"/>
                <w:kern w:val="0"/>
                <w:szCs w:val="21"/>
              </w:rPr>
            </w:pPr>
            <w:r>
              <w:rPr>
                <w:rFonts w:ascii="Times New Roman" w:hAnsi="Times New Roman" w:eastAsia="仿宋" w:cs="Times New Roman"/>
                <w:kern w:val="0"/>
                <w:szCs w:val="21"/>
              </w:rPr>
              <w:t>（4）采煤沉陷区治理。</w:t>
            </w:r>
          </w:p>
        </w:tc>
      </w:tr>
    </w:tbl>
    <w:p>
      <w:pPr>
        <w:pStyle w:val="18"/>
        <w:rPr>
          <w:rFonts w:ascii="Times New Roman" w:hAnsi="Times New Roman" w:eastAsia="仿宋" w:cs="Times New Roman"/>
          <w:b/>
        </w:rPr>
      </w:pPr>
    </w:p>
    <w:p>
      <w:pPr>
        <w:jc w:val="center"/>
        <w:rPr>
          <w:rFonts w:ascii="Times New Roman" w:hAnsi="Times New Roman" w:eastAsia="仿宋" w:cs="Times New Roman"/>
          <w:b/>
        </w:rPr>
      </w:pPr>
      <w:r>
        <w:rPr>
          <w:rFonts w:ascii="Times New Roman" w:hAnsi="Times New Roman" w:eastAsia="仿宋" w:cs="Times New Roman"/>
          <w:b/>
        </w:rPr>
        <w:t>表4-31-2 通化市二道江区生态环境准入清单</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68"/>
        <w:gridCol w:w="1650"/>
        <w:gridCol w:w="1832"/>
        <w:gridCol w:w="9252"/>
        <w:gridCol w:w="4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07"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390"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33"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18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50"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ZH22050310001</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通化市区生活饮用水水源保护区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ZH22050310002</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二道江区水源涵养功能重要区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ZH22050310003</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二道江区鸭绿江生物多样性维护功能生态保护红线</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ZH22050310004</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二道江区生物多样性重要区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ZH22050310005</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二道江区防风固沙重要区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ZH22050310006</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二道江区水土流失敏感区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5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ZH22050320001</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吉林二道江经济开发区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1严格限制废水排放量大、对水体污染严重的项目入区。</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2龙山先进制造和循环经济示范区禁止准入：①新建钢铁烧结、焦化、冶炼项目；②在现有技术条件下废水较难处理的项目；③电镀项目。</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桦树医药健康产业园区禁止准入：①在现有技术条件下废水较难处理的项目；②利用大蒸锅、小煮锅进行人参成分提取的小作坊生产企业；③涉及糖水煮制人参、硫磺熏蒸人参工艺的生产企业。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鸭园现代服务业和农产品加工园区禁止准入：①超过生态承载力的生态农业旅游活动；②超过生态承载力的药材等林产品采集活动；③在现有技术条件下废水较难处理的项目。</w:t>
            </w:r>
          </w:p>
        </w:tc>
        <w:tc>
          <w:tcPr>
            <w:tcW w:w="950"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发展定位：</w:t>
            </w:r>
            <w:r>
              <w:rPr>
                <w:rFonts w:ascii="Times New Roman" w:hAnsi="Times New Roman" w:eastAsia="仿宋" w:cs="Times New Roman"/>
                <w:bCs/>
                <w:kern w:val="0"/>
                <w:sz w:val="20"/>
                <w:szCs w:val="20"/>
              </w:rPr>
              <w:t>主要承载石灰石资源开发利用、碳酸钙、氢氧化钙、石塑地板、石塑墙板等新材料及其制品产业项目；承载以环境污染处理专用药剂生产为主的新型高效活性钙、绿色高效环保纳米活性钙等产品生产项目；承载金属材料加工、金属制品生产和为装备制造业配套的零部件制造等项目</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园区规划环评、《污染地块土壤环境管理办法（试行）》《土壤污染防治行动计划》《工矿用地土壤环境管理办法（试行）》</w:t>
            </w:r>
            <w:r>
              <w:rPr>
                <w:rFonts w:ascii="Times New Roman" w:hAnsi="Times New Roman" w:eastAsia="仿宋" w:cs="Times New Roman"/>
                <w:kern w:val="0"/>
                <w:sz w:val="20"/>
                <w:szCs w:val="20"/>
              </w:rPr>
              <w:t>《企业事业单位突发环境事件应急预案备案管理办法（试行）》《吉林省“十四五”节能减排综合实施方案》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187"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187"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4积极推进区内供热（汽）管网建设，尽快实现开发区集中供热。在实现开发区集中供热之前，应采用电加热或清洁能源作为过渡热源。园区新建供热设施须执行排放浓度限值。</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ZH22050320002</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通化医药高新技术产业开发区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2严格控制高耗水、高污染行业发展。</w:t>
            </w:r>
          </w:p>
        </w:tc>
        <w:tc>
          <w:tcPr>
            <w:tcW w:w="950"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全国医药健康产业创新驱动发展的示范区；全国医药健康产业高质量发展的先行区；吉林省大健康产业集聚高地；通化市产城融合生态新城。</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人参深加工、装备制造、新材料四大优势产业为主体，重点发展中成药、化学制药、生物制药、医疗器械、消杀产品、保健用品、化妆品、食品、现代服务、旅游、商贸流通、人参深加工、医疗器械、药用辅料、新材料、装备制造、金属制品加工、建材加工、包装印刷及高新技术等产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2严格落实规划环评及其批复文件制定的环境风险防范措施。</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kern w:val="0"/>
                <w:sz w:val="20"/>
                <w:szCs w:val="20"/>
              </w:rPr>
              <w:t>。</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3完成吉林省下达的产能置换要求。各产业执行对应的清洁生产标准。</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ZH22050320003</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二道江区城镇开发边界</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50"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发展定位：</w:t>
            </w:r>
            <w:r>
              <w:rPr>
                <w:rFonts w:ascii="Times New Roman" w:hAnsi="Times New Roman" w:eastAsia="仿宋" w:cs="Times New Roman"/>
                <w:bCs/>
                <w:kern w:val="0"/>
                <w:sz w:val="20"/>
                <w:szCs w:val="20"/>
              </w:rPr>
              <w:t>重点发展生产性服务业、健康产业和物流业。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《关于开展畜禽养殖禁养区划定工作的通知》《畜禽规模养殖污染防治条例》《吉林省生态环境保护“十四五”规划》《中共吉林省委 吉林省人民政府关于深入打好污染防治攻坚战的实施意见》</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50"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18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tc>
        <w:tc>
          <w:tcPr>
            <w:tcW w:w="950"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ZH22050320004</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二道江区大气环境高排放重点管控区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8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50" w:type="pct"/>
            <w:vMerge w:val="restart"/>
            <w:tcBorders>
              <w:top w:val="single" w:color="auto" w:sz="4" w:space="0"/>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18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color w:val="FF000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50"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50"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ZH22050320005</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二道江区大气环境布局敏感重点管控区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50" w:type="pct"/>
            <w:vMerge w:val="restart"/>
            <w:tcBorders>
              <w:top w:val="single" w:color="auto" w:sz="4" w:space="0"/>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大气环境布局敏感重点管控区、建设用地污染风险重点管控区、高污染燃料禁燃区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1"/>
              </w:rPr>
              <w:t>污染物排放管控</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1深入推进秸秆禁烧管控，实行秸秆全域禁烧。全面推进秸秆综合利用，建立健全秸秆全量化处置长效机制。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07"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通化市人民政府关于划定高污染燃料禁燃区的通告》执行；禁燃区内禁止新建、扩建燃用高污染燃料的锅炉、炉窑、炉灶等燃烧设施（20蒸吨/小时及以上的集中供热锅炉、热电联产锅炉除外）；禁燃区内的单位和个人应当按照下列要求停止使用高污染燃料，在集中供热管网或者燃气管网覆盖范围内的，应当改用集中供热或者清洁能源；未在集中供热管网或者燃气管网覆盖范围内的，应当改用电、液化石油气或者其他清洁能源，以淘汰使用高污染燃料的锅炉、炉窑、炉灶等燃烧设施。</w:t>
            </w:r>
          </w:p>
        </w:tc>
        <w:tc>
          <w:tcPr>
            <w:tcW w:w="950"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ZH22050320006</w:t>
            </w:r>
          </w:p>
        </w:tc>
        <w:tc>
          <w:tcPr>
            <w:tcW w:w="607"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二道江区大气环境弱扩散重点管控区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50"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07"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3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ZH22050330001</w:t>
            </w:r>
          </w:p>
        </w:tc>
        <w:tc>
          <w:tcPr>
            <w:tcW w:w="607"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二道江区一般管控区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3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0" w:type="pct"/>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rPr>
      </w:pPr>
    </w:p>
    <w:p>
      <w:pPr>
        <w:keepNext/>
        <w:keepLines/>
        <w:spacing w:before="260" w:after="260"/>
        <w:outlineLvl w:val="1"/>
        <w:rPr>
          <w:rFonts w:ascii="Times New Roman" w:hAnsi="Times New Roman" w:eastAsia="仿宋" w:cs="Times New Roman"/>
          <w:b/>
          <w:bCs/>
          <w:sz w:val="32"/>
          <w:szCs w:val="32"/>
        </w:rPr>
      </w:pPr>
      <w:bookmarkStart w:id="108" w:name="_Toc3062"/>
      <w:r>
        <w:rPr>
          <w:rFonts w:ascii="Times New Roman" w:hAnsi="Times New Roman" w:eastAsia="仿宋" w:cs="Times New Roman"/>
          <w:b/>
          <w:bCs/>
          <w:sz w:val="32"/>
          <w:szCs w:val="32"/>
        </w:rPr>
        <w:t>（三十二）通化市通化县生态环境准入清单</w:t>
      </w:r>
      <w:bookmarkEnd w:id="108"/>
    </w:p>
    <w:p>
      <w:pPr>
        <w:jc w:val="center"/>
        <w:rPr>
          <w:rFonts w:ascii="Times New Roman" w:hAnsi="Times New Roman" w:eastAsia="仿宋" w:cs="Times New Roman"/>
          <w:b/>
        </w:rPr>
      </w:pPr>
      <w:r>
        <w:rPr>
          <w:rFonts w:ascii="Times New Roman" w:hAnsi="Times New Roman" w:eastAsia="仿宋" w:cs="Times New Roman"/>
          <w:b/>
        </w:rPr>
        <w:t>表4-32-1通化市通化县区域特征研判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1.《吉林省主体功能区规划》中的国家级农产品主产区。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隶属于吉林省通化市，位于吉林省南部，地处长白山南麓、浑江中游。总面积3724平方千米。辖10个镇、5个乡、1个经济开发区。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积极适应经济发展新常态，在转型升级中集聚新动能，在开发开放上释放新活力，在绿色发展中取得新突破，在增进民生福祉上取得新进展，力争并保持在全市率先发展、加快发展的良好态势，确保如期全面建成小康社会，争做全国模范县。</w:t>
            </w:r>
          </w:p>
          <w:p>
            <w:pPr>
              <w:rPr>
                <w:rFonts w:ascii="Times New Roman" w:hAnsi="Times New Roman" w:eastAsia="仿宋" w:cs="Times New Roman"/>
                <w:kern w:val="0"/>
                <w:szCs w:val="21"/>
              </w:rPr>
            </w:pPr>
            <w:r>
              <w:rPr>
                <w:rFonts w:ascii="Times New Roman" w:hAnsi="Times New Roman" w:eastAsia="仿宋" w:cs="Times New Roman"/>
                <w:kern w:val="0"/>
                <w:szCs w:val="21"/>
              </w:rPr>
              <w:t>实施四大支柱产业振兴工程。提升医药健康、矿产、食品、精细化工引领和支撑能力。着力发展医药健康产业、加快振兴矿产业、加速发展生态食品产业、大力发展精细化工产业。实施四大优势产业发展工程。加快把“互联网+”、装备制造、新材料、特色旅游打造成新的支柱产业。</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水土流失。</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吉林通化石湖国家级自然保护区</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吉林五间房省级森林公园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吉林通化四方山省级森林公园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吉林通化蝲蛄河国家湿地自然公园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吉林通化朝阳省级湿地公园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通化市区生活饮用水水源保护区</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通化县生活饮用水水源保护区、通化县大罗圈沟河特有鱼类省级水产种质资源保护区、哈泥河水功能区一级区保护区、国家级公益林</w:t>
            </w:r>
            <w:r>
              <w:rPr>
                <w:rFonts w:hint="eastAsia" w:ascii="Times New Roman" w:hAnsi="Times New Roman" w:eastAsia="仿宋" w:cs="Times New Roman"/>
                <w:kern w:val="0"/>
                <w:szCs w:val="21"/>
              </w:rPr>
              <w:t>、黑土地资源</w:t>
            </w:r>
            <w:r>
              <w:rPr>
                <w:rFonts w:ascii="Times New Roman" w:hAnsi="Times New Roman" w:eastAsia="仿宋" w:cs="Times New Roman"/>
                <w:kern w:val="0"/>
                <w:szCs w:val="21"/>
              </w:rPr>
              <w:t>。</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（1）加强水土流失预防和治理。</w:t>
            </w:r>
          </w:p>
        </w:tc>
      </w:tr>
    </w:tbl>
    <w:p>
      <w:pPr>
        <w:pStyle w:val="18"/>
        <w:rPr>
          <w:rFonts w:ascii="Times New Roman" w:hAnsi="Times New Roman" w:eastAsia="仿宋" w:cs="Times New Roman"/>
          <w:b/>
        </w:rPr>
      </w:pPr>
    </w:p>
    <w:p>
      <w:pPr>
        <w:jc w:val="center"/>
        <w:rPr>
          <w:rFonts w:ascii="Times New Roman" w:hAnsi="Times New Roman" w:eastAsia="仿宋" w:cs="Times New Roman"/>
          <w:b/>
        </w:rPr>
      </w:pPr>
      <w:r>
        <w:rPr>
          <w:rFonts w:ascii="Times New Roman" w:hAnsi="Times New Roman" w:eastAsia="仿宋" w:cs="Times New Roman"/>
          <w:b/>
        </w:rPr>
        <w:t>表4-32-2 通化市通化县生态环境准入清单</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97"/>
        <w:gridCol w:w="1735"/>
        <w:gridCol w:w="1730"/>
        <w:gridCol w:w="9337"/>
        <w:gridCol w:w="3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14"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410"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09"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20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2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吉林通化石湖国家级自然保护区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ZH22052110002</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吉林五间房省级森林公园</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ZH22052110003</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吉林通化四方山省级森林公园</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ZH22052110004</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吉林通化蝲蛄河国家湿地自然公园</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sz w:val="20"/>
                <w:szCs w:val="21"/>
              </w:rPr>
              <w:t>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ZH22052110005</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吉林通化朝阳省级湿地公园</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sz w:val="20"/>
                <w:szCs w:val="21"/>
              </w:rPr>
              <w:t>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ZH22052110006</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通化市区生活饮用水水源保护区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饮用水水源保护区执行《中华人民共和国水污染防治法》《饮用水水源保护区污染防治管理规定》《吉林省城镇饮用水水源保护条例》相关要求。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ZH22052110007</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通化县生活饮用水水源保护区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饮用水水源保护区执行《中华人民共和国水污染防治法》《饮用水水源保护区污染防治管理规定》《吉林省城镇饮用水水源保护条例》相关要求。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ZH22052110008</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通化市区生活饮用水水源保护区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 xml:space="preserve"> 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饮用水源水源保护区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ZH22052110009</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通化县生活饮用水水源保护区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 xml:space="preserve"> 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饮用水源水源保护区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ZH22052110010</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通化县大罗圈沟河特有鱼类省级水产种质资源保护区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通化县国家级公益林</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1</w:t>
            </w:r>
            <w:r>
              <w:rPr>
                <w:rFonts w:ascii="Times New Roman" w:hAnsi="Times New Roman" w:eastAsia="仿宋" w:cs="Times New Roman"/>
                <w:kern w:val="0"/>
                <w:sz w:val="20"/>
                <w:szCs w:val="20"/>
              </w:rPr>
              <w:t>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ZH22052110012</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哈泥河水功能区一级区保护区</w:t>
            </w:r>
          </w:p>
        </w:tc>
        <w:tc>
          <w:tcPr>
            <w:tcW w:w="410"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ZH22052110013</w:t>
            </w:r>
          </w:p>
        </w:tc>
        <w:tc>
          <w:tcPr>
            <w:tcW w:w="614"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通化县黑土地保护区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ZH22052110014</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通化县水源涵养功能生态保护红线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ZH22052110015</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通化县水源涵养功能重要区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9黑土地保护区执行《吉林省黑土地保护条例》相关要求。开展坡耕地整治和侵蚀沟治理，防治水土流失；实施秸秆还田、增施有机肥、土壤酸化治理等农艺措施，修复农田生态。</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水源涵养、防风固沙、水土保持、江河源头区域、黑土地保护区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ZH22052110016</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通化县松嫩平原生物多样性维护功能生态保护红线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ZH22052110017</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通化县生物多样性维护功能生态保护红线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4生态保护红线内江河源头区域执行《水功能区监督管理办法》相关要求。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ZH22052110018</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通化县鸭绿江生物多样性维护功能生态保护红线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2生态保护红线内水产种质资源保护区执行《水产种质资源保护区管理办法》相关要求。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ZH22052110019</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通化县生物多样性重要区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7黑土地保护区执行《吉林省黑土地保护条例》相关要求。开展坡耕地整治和侵蚀沟治理，防治水土流失；实施秸秆还田、增施有机肥、土壤酸化治理等农艺措施，修复农田生态。</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生物多样性、水土保持、水土流失、江河源头区域、黑土地保护区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ZH22052110020</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通化县防风固沙重要区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ZH22052110021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通化县水土保持功能重要区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ZH22052110022</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通化县松嫩平原水土保持功能生态保护红线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ZH22052110023</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通化县水土流失敏感区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ZH22052110024</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通化县其他生态功能生态保护红线</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2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ZH22052120001</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通化国际内陆港务区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3禁止在化工园区外新建、扩建化工项目，未纳入国家《石化产业规划布局方案》的新建炼化项目一律不得建设。</w:t>
            </w:r>
          </w:p>
        </w:tc>
        <w:tc>
          <w:tcPr>
            <w:tcW w:w="92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进出口加工产业、临港产业、大健康产业、中医药产业、医药化工、精细化工、化工新材料产业、加工制造产业、商贸加工产业、绿色食品加工业、中草药种植业、旅游业、临空产业、先进装备制造业、高新技术产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07"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07"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3完成吉林省下达的产能置换要求。各产业执行对应的清洁生产标准。</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ZH22052120002</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吉林通化县经济开发区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开发区严格控制高耗水、高污染行业发展。</w:t>
            </w:r>
          </w:p>
        </w:tc>
        <w:tc>
          <w:tcPr>
            <w:tcW w:w="92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大气环境高排放重点管控区、水环境工业污染重点管控区、通化赤柏松铜镍矿重点矿区</w:t>
            </w:r>
          </w:p>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医药制造业、食品加工业、机械加工业、新型建材产业等。培养的战略性新型产业包括；专业物流、乡村旅游、康养度假。</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27"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环境风险防控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2严格落实规划环评及其批复文件制定的环境风险防范措施。</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ZH22052120003</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通化医药高新技术产业开发区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2严格控制高耗水、高污染行业发展。</w:t>
            </w:r>
          </w:p>
        </w:tc>
        <w:tc>
          <w:tcPr>
            <w:tcW w:w="927"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全国医药健康产业创新驱动发展的示范区；全国医药健康产业高质量发展的先行区；吉林省大健康产业集聚高地；通化市产城融合生态新城。</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人参深加工、装备制造、新材料四大优势产业为主体，重点发展中成药、化学制药、生物制药、医疗器械、消杀产品、保健用品、化妆品、食品、现代服务、旅游、商贸流通、人参深加工、医疗器械、药用辅料、新材料、装备制造、金属制品加工、建材加工、包装印刷及高新技术等产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2严格落实规划环评及其批复文件制定的环境风险防范措施。</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1完成吉林省下达的产能置换要求。各产业执行对应的清洁生产标准。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新建、扩建燃用髙污染燃料的锅炉、炉窑、炉灶等燃烧设施（每小时20蒸吨及以上的集中供热锅炉、热电联产锅炉除外）。积极推进区内供热（汽）管网建设，尽快实现开发区集中供热。在实现开发区集中供热之前，应采用电加热或清洁能源作为过渡热源。园区新建供热设施须执行排放浓度限值。</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ZH22052120004</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通化县城镇开发边界</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2除在安全或者产业布局等方面有特殊要求的项目外，应避免大规模排放水污染物的项目布局建设。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3推进城市建成区内现有钢铁、建材、有色金属、造纸、印染、原料药制造、化工等污染较重的企业有序搬迁改造或依法关闭。</w:t>
            </w:r>
          </w:p>
        </w:tc>
        <w:tc>
          <w:tcPr>
            <w:tcW w:w="927" w:type="pct"/>
            <w:vMerge w:val="restart"/>
            <w:vAlign w:val="center"/>
          </w:tcPr>
          <w:p>
            <w:pPr>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大气环境受体敏感重点管控区、水环境城镇生活污染重点管控区、建设用地污染风险重点管控区、通化赤柏松铜镍矿重点矿区</w:t>
            </w:r>
          </w:p>
          <w:p>
            <w:pPr>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《关于开展畜禽养殖禁养区划定工作的通知》《吉林省生态环境保护“十四五”规划》《吉林省矿产资源总体规划（2021-2025年）》《中共吉林省委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0" w:type="pct"/>
            <w:vMerge w:val="continue"/>
            <w:noWrap/>
            <w:vAlign w:val="center"/>
          </w:tcPr>
          <w:p>
            <w:pPr>
              <w:jc w:val="left"/>
              <w:rPr>
                <w:rFonts w:ascii="Times New Roman" w:hAnsi="Times New Roman" w:eastAsia="仿宋" w:cs="Times New Roman"/>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27" w:type="pct"/>
            <w:vMerge w:val="continue"/>
            <w:vAlign w:val="center"/>
          </w:tcPr>
          <w:p>
            <w:pPr>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ZH22052120005</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通化县大气环境高排放重点管控区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钢铁、焦化、电解铝、铸造、水泥和平板玻璃等行业新增产能，列入去产能的钢铁企业退出时须一并退出配套的烧结、焦炉、高炉等设备。推进煤炭、矿石、钢材、石油、粮食、建材、焦炭等大宗货物中长途运输“公转铁”。</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Merge w:val="restart"/>
            <w:tcBorders>
              <w:top w:val="single" w:color="auto" w:sz="4" w:space="0"/>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大气环境高排放重点管控区、通化赤柏松铜镍矿重点矿区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《污染地块土壤环境管理办法（试行）》《工矿用地土壤环境管理办法（试行）》《吉林省矿产资源总体规划（2021-2025年）》《吉林省生态环境保护“十四五”规划》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1工业涂装、石化化工等涉及挥发性有机物排放的行业企业属于控制重点，应推广使用低（无）挥发性有机物含量的原辅材料，安装高效集气装置等措施，提升工艺废气、尾气收集处置率。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2重点行业污染治理升级改造，推进各类园区循环化改造；强化堆场扬尘控制。</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2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7"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27"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ZH22052120006</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通化县大气环境布局敏感重点管控区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1除在安全或者产业布局等方面有特殊要求的项目外，应避免大规模排放大气污染物的项目布局建设。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Merge w:val="restart"/>
            <w:tcBorders>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大气环境布局敏感重点管控区、建设用地污染风险重点管控区、通化四方山铁矿重点矿区、通化赤柏松铜镍矿重点矿区、白山黑沟白云岩矿重点矿区</w:t>
            </w:r>
          </w:p>
          <w:p>
            <w:pPr>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0" w:type="pct"/>
            <w:vMerge w:val="continue"/>
            <w:noWrap/>
            <w:vAlign w:val="center"/>
          </w:tcPr>
          <w:p>
            <w:pPr>
              <w:jc w:val="left"/>
              <w:rPr>
                <w:rFonts w:ascii="Times New Roman" w:hAnsi="Times New Roman" w:eastAsia="仿宋" w:cs="Times New Roman"/>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2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ZH22052120007</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通化县大气环境弱扩散重点管控区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Merge w:val="restart"/>
            <w:tcBorders>
              <w:top w:val="single" w:color="auto" w:sz="4" w:space="0"/>
              <w:left w:val="single" w:color="auto" w:sz="4" w:space="0"/>
              <w:right w:val="single" w:color="auto" w:sz="4" w:space="0"/>
            </w:tcBorders>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大气环境弱扩散重点管控区、通化财源晶质石墨矿重点矿区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0" w:type="pct"/>
            <w:vMerge w:val="continue"/>
            <w:noWrap/>
            <w:vAlign w:val="center"/>
          </w:tcPr>
          <w:p>
            <w:pPr>
              <w:jc w:val="left"/>
              <w:rPr>
                <w:rFonts w:ascii="Times New Roman" w:hAnsi="Times New Roman" w:eastAsia="仿宋" w:cs="Times New Roman"/>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27"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ZH22052120008</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通化县建设用地污染风险重点管控区</w:t>
            </w:r>
          </w:p>
        </w:tc>
        <w:tc>
          <w:tcPr>
            <w:tcW w:w="41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9"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7"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0" w:type="pct"/>
            <w:vMerge w:val="continue"/>
            <w:noWrap/>
            <w:vAlign w:val="center"/>
          </w:tcPr>
          <w:p>
            <w:pPr>
              <w:jc w:val="left"/>
              <w:rPr>
                <w:rFonts w:ascii="Times New Roman" w:hAnsi="Times New Roman" w:eastAsia="仿宋" w:cs="Times New Roman"/>
                <w:color w:val="FF0000"/>
                <w:sz w:val="20"/>
                <w:szCs w:val="20"/>
              </w:rPr>
            </w:pPr>
          </w:p>
        </w:tc>
        <w:tc>
          <w:tcPr>
            <w:tcW w:w="40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ZH22052130001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通化县一般管控区</w:t>
            </w:r>
          </w:p>
        </w:tc>
        <w:tc>
          <w:tcPr>
            <w:tcW w:w="41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0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27" w:type="pct"/>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rPr>
      </w:pPr>
    </w:p>
    <w:p>
      <w:pPr>
        <w:keepNext/>
        <w:keepLines/>
        <w:spacing w:before="260" w:after="260"/>
        <w:outlineLvl w:val="1"/>
        <w:rPr>
          <w:rFonts w:ascii="Times New Roman" w:hAnsi="Times New Roman" w:eastAsia="仿宋" w:cs="Times New Roman"/>
          <w:b/>
          <w:bCs/>
          <w:sz w:val="32"/>
          <w:szCs w:val="32"/>
        </w:rPr>
      </w:pPr>
      <w:bookmarkStart w:id="109" w:name="_Toc12249"/>
      <w:r>
        <w:rPr>
          <w:rFonts w:ascii="Times New Roman" w:hAnsi="Times New Roman" w:eastAsia="仿宋" w:cs="Times New Roman"/>
          <w:b/>
          <w:bCs/>
          <w:sz w:val="32"/>
          <w:szCs w:val="32"/>
        </w:rPr>
        <w:t>（三十三）通化市辉南县生态环境准入清单</w:t>
      </w:r>
      <w:bookmarkEnd w:id="109"/>
    </w:p>
    <w:p>
      <w:pPr>
        <w:jc w:val="center"/>
        <w:rPr>
          <w:rFonts w:ascii="Times New Roman" w:hAnsi="Times New Roman" w:eastAsia="仿宋" w:cs="Times New Roman"/>
          <w:b/>
        </w:rPr>
      </w:pPr>
      <w:r>
        <w:rPr>
          <w:rFonts w:ascii="Times New Roman" w:hAnsi="Times New Roman" w:eastAsia="仿宋" w:cs="Times New Roman"/>
          <w:b/>
        </w:rPr>
        <w:t>表4-33-1通化市辉南县区域特征研判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1.《吉林省主体功能区规划》中的国家级农产品主产区。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隶属于吉林省通化市，位于吉林省东南部，是长白山脉与松辽平原的过渡带，是进出长白山的重要通道和门户。总面积2275平方千米。辖10个镇、1个乡、1个省级经济开发区。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以习近平新时代中国特色社会主义思想为指导，深入贯彻习近平总书记系列讲话和指示精神，坚持稳中求进工作总基调，牢固树立以人民为中心的发展思想，以辉南绿色转型、全面振兴为主线，以改革创新为动力，抓“六保＂、促“六稳＂，稳住经济基本盘，集中力量推动“十大行动、百项工程”。依托我县产业和资源优势，全力推动医药健康、绿色食品、新型材料、旅游四大主导产业创新驱动发展，全力打造经济开发区产业集聚平台，形成高质量现代产业体系，构建产业发展新格局。聚力打造大旅游产业、医药大健康产业和绿色食品主导产业集群，进一步激发冶金、机械、建材等传统优势产业的动力活力，提高产品技术、工艺装备、能效环保等水平。加快培育和发展新材料、现代服务业和新能源等新兴产业，形成技术水平高、产业规模大、集群优势突出的新兴产业体系。提升园区承载能力，通过扩容提质、技术改造、兼并重组和管理创新等手段推动经济开发区创新发展。统筹城乡融合发展，走出一条结构更优、质量更高、效益更好、社会更加和谐、优势充分释放的发展新路。</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水土流失。</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吉林龙湾国家级自然保护区、吉林辉南大椅山湿地省级自然保护区、辉南生活饮用水水源保护区、吉林省龙湾群国家森林公园、辉南辉发河瓦氏雅罗鱼国家级水产种质资源保护区、黑土地资源、国家级公益林。</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（1）加强水土流失预防和治理。</w:t>
            </w:r>
          </w:p>
          <w:p>
            <w:pPr>
              <w:rPr>
                <w:rFonts w:ascii="Times New Roman" w:hAnsi="Times New Roman" w:eastAsia="仿宋" w:cs="Times New Roman"/>
                <w:kern w:val="0"/>
                <w:szCs w:val="21"/>
              </w:rPr>
            </w:pPr>
          </w:p>
        </w:tc>
      </w:tr>
    </w:tbl>
    <w:p>
      <w:pPr>
        <w:pStyle w:val="18"/>
        <w:rPr>
          <w:rFonts w:ascii="Times New Roman" w:hAnsi="Times New Roman" w:eastAsia="仿宋" w:cs="Times New Roman"/>
          <w:b/>
        </w:rPr>
      </w:pPr>
    </w:p>
    <w:p>
      <w:pPr>
        <w:jc w:val="center"/>
        <w:rPr>
          <w:rFonts w:ascii="Times New Roman" w:hAnsi="Times New Roman" w:eastAsia="仿宋" w:cs="Times New Roman"/>
          <w:b/>
        </w:rPr>
      </w:pPr>
      <w:r>
        <w:rPr>
          <w:rFonts w:ascii="Times New Roman" w:hAnsi="Times New Roman" w:eastAsia="仿宋" w:cs="Times New Roman"/>
          <w:b/>
        </w:rPr>
        <w:t>表4-33-2 通化市辉南县生态环境准入清单</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449"/>
        <w:gridCol w:w="1650"/>
        <w:gridCol w:w="1997"/>
        <w:gridCol w:w="9337"/>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579"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390"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72"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20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18"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ZH22052310001</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吉林龙湾国家级自然保护区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3生态保护红线内重要湿地执行《中华人民共和国湿地保护法》《湿地保护管理规定》《吉林省湿地保护条例》《关于特别是作为水禽栖息地的国际重要湿地公约》相关要求。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ZH22052310002</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吉林辉南大椅山湿地省级自然保护区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4生态保护红线内重要湿地执行《中华人民共和国湿地保护法》《湿地保护管理规定》《吉林省湿地保护条例》《关于特别是作为水禽栖息地的国际重要湿地公约》相关要求。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自然保护区、饮用水水源保护区、重要湿地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ZH22052310003</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辉南县生活饮用水水源保护区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3黑土地保护区执行《吉林省黑土地保护条例》相关要求。开展坡耕地整治和侵蚀沟治理，防治水土流失；实施秸秆还田、增施有机肥、土壤酸化治理等农艺措施，修复农田生态。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ZH22052310004</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辉南辉发河瓦氏雅罗鱼国家级水产种质资源保护区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kern w:val="0"/>
                <w:sz w:val="20"/>
                <w:szCs w:val="20"/>
              </w:rPr>
              <w:t>水产种质资源保护区执行《水产种质资源保护区管理办法》相关要求。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ZH22052310005</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辉南县国家级公益林</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ZH22052310006</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辉南龙湾湿地</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2重要湿地执行《中华人民共和国湿地保护法》《湿地保护管理规定》《吉林省湿地保护条例》《关于特别是作为水禽栖息地的国际重要湿地公约》相关要求。</w:t>
            </w:r>
          </w:p>
        </w:tc>
        <w:tc>
          <w:tcPr>
            <w:tcW w:w="918" w:type="pct"/>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ZH22052310007</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辉南大椅山湿地</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2重要湿地执行《中华人民共和国湿地保护法》《湿地保护管理规定》《吉林省湿地保护条例》《关于特别是作为水禽栖息地的国际重要湿地公约》相关要求。</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一般生态空间、水环境优先保护区、农用地优先保护区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重要湿地、黑土地保护区、水土流失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ZH22052310008</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辉南县黑土地保护区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ZH22052310009</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辉南县水源涵养功能生态保护红线</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ZH22052310010</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辉南县水源涵养功能重要区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水源涵养、防风固沙、水土保持、水土流失、黑土地保护区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ZH22052310011</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辉南县生物多样性维护功能生态保护红线</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ZH22052310012</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辉南县生物多样性功能重要区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8黑土地保护区执行《吉林省黑土地保护条例》相关要求。开展坡耕地整治和侵蚀沟治理，防治水土流失；实施秸秆还田、增施有机肥、土壤酸化治理等农艺措施，修复农田生态。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生物多样性、水土流失、防风固沙、水土保持、黑土地保护区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ZH22052310013</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辉南县水土保持功能生态保护红线</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ZH22052310014</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辉南县松嫩平原水土保持功能生态保护红线</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ZH22052310015</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辉南县水土保持功能重要区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ZH22052310016</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辉南县水土流失敏感区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5黑土地保护区执行《吉林省黑土地保护条例》相关要求。开展坡耕地整治和侵蚀沟治理，防治水土流失；实施秸秆还田、增施有机肥、土壤酸化治理等农艺措施，修复农田生态。</w:t>
            </w:r>
          </w:p>
        </w:tc>
        <w:tc>
          <w:tcPr>
            <w:tcW w:w="918"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ZH22052320001</w:t>
            </w:r>
          </w:p>
        </w:tc>
        <w:tc>
          <w:tcPr>
            <w:tcW w:w="579"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吉林辉南经济开发区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严格控制高耗水、高污染行业发展。</w:t>
            </w:r>
          </w:p>
        </w:tc>
        <w:tc>
          <w:tcPr>
            <w:tcW w:w="918"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国家级医药健康小镇；吉林省绿色食品加工产业集聚区；通化市现代服务业产业创新基地。</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医药健康、</w:t>
            </w:r>
            <w:r>
              <w:rPr>
                <w:rFonts w:hint="eastAsia" w:ascii="Times New Roman" w:hAnsi="Times New Roman" w:eastAsia="仿宋" w:cs="Times New Roman"/>
                <w:bCs/>
                <w:kern w:val="0"/>
                <w:sz w:val="20"/>
                <w:szCs w:val="20"/>
              </w:rPr>
              <w:t>新型材料、</w:t>
            </w:r>
            <w:r>
              <w:rPr>
                <w:rFonts w:ascii="Times New Roman" w:hAnsi="Times New Roman" w:eastAsia="仿宋" w:cs="Times New Roman"/>
                <w:bCs/>
                <w:kern w:val="0"/>
                <w:sz w:val="20"/>
                <w:szCs w:val="20"/>
              </w:rPr>
              <w:t>绿色食品加工</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装备制造产业</w:t>
            </w:r>
            <w:r>
              <w:rPr>
                <w:rFonts w:hint="eastAsia" w:ascii="Times New Roman" w:hAnsi="Times New Roman" w:eastAsia="仿宋" w:cs="Times New Roman"/>
                <w:bCs/>
                <w:kern w:val="0"/>
                <w:sz w:val="20"/>
                <w:szCs w:val="20"/>
              </w:rPr>
              <w:t>和现代服务业</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579"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3完成吉林省下达的产能置换要求。各产业执行对应的清洁生产标准。</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ZH22052320002</w:t>
            </w:r>
          </w:p>
        </w:tc>
        <w:tc>
          <w:tcPr>
            <w:tcW w:w="579"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辉南县城镇开发边界</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持续开展“散乱污”企业排查整治。依法加快城市建成区重污染企业搬迁改造或关闭退出，城市建成区内的铁合金、水泥、化工等工业企业进行全面清理，对高耗能、高排放、低效益、规模小的工业企业依法按期予以关停淘汰。</w:t>
            </w:r>
          </w:p>
        </w:tc>
        <w:tc>
          <w:tcPr>
            <w:tcW w:w="918"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大气环境受体敏感重点管控区、水环境城镇生活污染重点管控区、建设用地污染风险重点管控区、辉南-靖宇矿泉水重点矿区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2严格控制新建有色金属冶炼、石油加工、化工、焦化、电镀、制革等具有有毒有害物质排放的行业企业。</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ZH22052320003</w:t>
            </w:r>
          </w:p>
        </w:tc>
        <w:tc>
          <w:tcPr>
            <w:tcW w:w="579"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辉南县大气环境高排放重点管控区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18"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1"/>
              </w:rPr>
              <w:t>基于“三线”研究成果，结合《污染地块土壤环境管理办法（试行）》《工矿用地土壤环境管理办法（试行）》《中共吉林省委 吉林省人民政府关于深入打好污染防治攻坚战的实施意见》《吉林省减污降碳协同增效实施方案》《吉林省生态环境保护“十四五”规划》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579"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8"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579"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579"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7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ZH22052320004</w:t>
            </w:r>
          </w:p>
        </w:tc>
        <w:tc>
          <w:tcPr>
            <w:tcW w:w="579"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辉南县大气环境弱扩散重点管控区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2" w:type="pct"/>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0"/>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18"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基于“三线”研究成果，结合结合《污染地块土壤环境管理办法（试行）》《工矿用地土壤环境管理办法（试行）》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579" w:type="pct"/>
            <w:vMerge w:val="continue"/>
            <w:noWrap/>
            <w:vAlign w:val="center"/>
          </w:tcPr>
          <w:p>
            <w:pPr>
              <w:jc w:val="left"/>
              <w:rPr>
                <w:rFonts w:ascii="Times New Roman" w:hAnsi="Times New Roman" w:eastAsia="仿宋" w:cs="Times New Roman"/>
                <w:sz w:val="20"/>
                <w:szCs w:val="20"/>
              </w:rPr>
            </w:pPr>
          </w:p>
        </w:tc>
        <w:tc>
          <w:tcPr>
            <w:tcW w:w="390" w:type="pct"/>
            <w:vMerge w:val="continue"/>
            <w:noWrap/>
            <w:vAlign w:val="center"/>
          </w:tcPr>
          <w:p>
            <w:pPr>
              <w:jc w:val="left"/>
              <w:rPr>
                <w:rFonts w:ascii="Times New Roman" w:hAnsi="Times New Roman" w:eastAsia="仿宋" w:cs="Times New Roman"/>
                <w:sz w:val="20"/>
                <w:szCs w:val="20"/>
              </w:rPr>
            </w:pPr>
          </w:p>
        </w:tc>
        <w:tc>
          <w:tcPr>
            <w:tcW w:w="47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07" w:type="pct"/>
            <w:tcBorders>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tcBorders>
              <w:left w:val="single" w:color="auto" w:sz="4" w:space="0"/>
              <w:right w:val="single" w:color="auto" w:sz="4" w:space="0"/>
            </w:tcBorders>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ZH22052320005</w:t>
            </w:r>
          </w:p>
        </w:tc>
        <w:tc>
          <w:tcPr>
            <w:tcW w:w="579"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辉南县建设用地污染风险重点管控区</w:t>
            </w:r>
          </w:p>
        </w:tc>
        <w:tc>
          <w:tcPr>
            <w:tcW w:w="390"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72"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18"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579" w:type="pct"/>
            <w:vMerge w:val="continue"/>
            <w:noWrap/>
            <w:vAlign w:val="center"/>
          </w:tcPr>
          <w:p>
            <w:pPr>
              <w:jc w:val="left"/>
              <w:rPr>
                <w:rFonts w:ascii="Times New Roman" w:hAnsi="Times New Roman" w:eastAsia="仿宋" w:cs="Times New Roman"/>
                <w:color w:val="FF0000"/>
                <w:sz w:val="20"/>
                <w:szCs w:val="20"/>
              </w:rPr>
            </w:pPr>
          </w:p>
        </w:tc>
        <w:tc>
          <w:tcPr>
            <w:tcW w:w="390" w:type="pct"/>
            <w:vMerge w:val="continue"/>
            <w:noWrap/>
            <w:vAlign w:val="center"/>
          </w:tcPr>
          <w:p>
            <w:pPr>
              <w:jc w:val="left"/>
              <w:rPr>
                <w:rFonts w:ascii="Times New Roman" w:hAnsi="Times New Roman" w:eastAsia="仿宋" w:cs="Times New Roman"/>
                <w:color w:val="FF0000"/>
                <w:sz w:val="20"/>
                <w:szCs w:val="20"/>
              </w:rPr>
            </w:pPr>
          </w:p>
        </w:tc>
        <w:tc>
          <w:tcPr>
            <w:tcW w:w="47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0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ZH22052320006</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辉南-靖宇矿泉水重点矿区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18"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辉南-靖宇矿泉水重点矿区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ZH22052330001</w:t>
            </w:r>
          </w:p>
        </w:tc>
        <w:tc>
          <w:tcPr>
            <w:tcW w:w="579"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辉南县一般管控区</w:t>
            </w:r>
          </w:p>
        </w:tc>
        <w:tc>
          <w:tcPr>
            <w:tcW w:w="390"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7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b/>
          <w:color w:val="FF0000"/>
        </w:rPr>
      </w:pPr>
    </w:p>
    <w:p>
      <w:pPr>
        <w:keepNext/>
        <w:keepLines/>
        <w:spacing w:before="260" w:after="260"/>
        <w:outlineLvl w:val="1"/>
        <w:rPr>
          <w:rFonts w:ascii="Times New Roman" w:hAnsi="Times New Roman" w:eastAsia="仿宋" w:cs="Times New Roman"/>
          <w:b/>
          <w:bCs/>
          <w:sz w:val="32"/>
          <w:szCs w:val="32"/>
        </w:rPr>
      </w:pPr>
      <w:bookmarkStart w:id="110" w:name="_Toc25038"/>
      <w:r>
        <w:rPr>
          <w:rFonts w:ascii="Times New Roman" w:hAnsi="Times New Roman" w:eastAsia="仿宋" w:cs="Times New Roman"/>
          <w:b/>
          <w:bCs/>
          <w:sz w:val="32"/>
          <w:szCs w:val="32"/>
        </w:rPr>
        <w:t>（三十四）通化市柳河县生态环境准入清单</w:t>
      </w:r>
      <w:bookmarkEnd w:id="110"/>
    </w:p>
    <w:p>
      <w:pPr>
        <w:jc w:val="center"/>
        <w:rPr>
          <w:rFonts w:ascii="Times New Roman" w:hAnsi="Times New Roman" w:eastAsia="仿宋" w:cs="Times New Roman"/>
          <w:b/>
        </w:rPr>
      </w:pPr>
      <w:r>
        <w:rPr>
          <w:rFonts w:ascii="Times New Roman" w:hAnsi="Times New Roman" w:eastAsia="仿宋" w:cs="Times New Roman"/>
          <w:b/>
        </w:rPr>
        <w:t>表4-34-1通化市柳河县区域特征研判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1.《吉林省主体功能区规划》中的国家级农产品主产区。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隶属于吉林省通化市，位于吉林省东南部。总面积3345.81平方千米。辖12个镇、3个乡、1个省级经济开发区。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以“创新、协调、绿色、开放、共享”发展理念为引领，以转型升级为主线，以如期全面建成小康社会为目标，坚持“工业强县、绿色兴县、依法治县、环境立县”发展战略，做大做强医药健康产业、规范开发矿产建材业、扶持壮大特色富民产业、加快培育战略新兴产业，提升发展现代服务业，坚定不移扩总量、全力以赴夯基础、尽职尽责惠民生，打造具有较强竞争实力的特色资源产业强县。</w:t>
            </w:r>
          </w:p>
          <w:p>
            <w:pPr>
              <w:rPr>
                <w:rFonts w:ascii="Times New Roman" w:hAnsi="Times New Roman" w:eastAsia="仿宋" w:cs="Times New Roman"/>
                <w:kern w:val="0"/>
                <w:szCs w:val="21"/>
              </w:rPr>
            </w:pPr>
            <w:r>
              <w:rPr>
                <w:rFonts w:ascii="Times New Roman" w:hAnsi="Times New Roman" w:eastAsia="仿宋" w:cs="Times New Roman"/>
                <w:kern w:val="0"/>
                <w:szCs w:val="21"/>
              </w:rPr>
              <w:t>围绕“中成药、化学药、保健品、人参药食同源和医药器材包材”五大领域，依托北药基地资源和生物技术优势，科学构建绿色药材种植、自主创新开发、绿色医药生产三位一体的生态医药产业链条，全力打造东北三省中成药生产加工大县，打造医药产业集群，全方位融入通化国家级医药产业集聚区。加快构建现代农业三大体系，促进农业增效、农民增收，建成全国知名的有机绿色农产品示范县。统筹保障粮食安全与转方式调结构需要，建设粮食、畜产品等八大基地，打造有机绿色粮食安全生产先行区。</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水土流失。</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吉林哈泥国家级自然保护区、吉林柳河罗通山珍稀植物省级自然保护区、辉南生活饮用水水源保护区、柳河县柳河水库生活饮用水水源保护区、三仙夹国家森林公园、哈泥河东北七鳃鳗国家级水产种质资源保护区、柳河县国家级公益林、三统河水功能区一级区保护区、一统河水功能区一级区保护区、哈泥河水功能区一级区保护区。</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（1）加强水土流失预防和治理。</w:t>
            </w:r>
          </w:p>
        </w:tc>
      </w:tr>
    </w:tbl>
    <w:p>
      <w:pPr>
        <w:pStyle w:val="18"/>
        <w:rPr>
          <w:rFonts w:ascii="Times New Roman" w:hAnsi="Times New Roman" w:eastAsia="仿宋" w:cs="Times New Roman"/>
          <w:b/>
        </w:rPr>
      </w:pPr>
    </w:p>
    <w:p>
      <w:pPr>
        <w:jc w:val="center"/>
        <w:rPr>
          <w:rFonts w:ascii="Times New Roman" w:hAnsi="Times New Roman" w:eastAsia="仿宋" w:cs="Times New Roman"/>
          <w:b/>
        </w:rPr>
      </w:pPr>
      <w:r>
        <w:rPr>
          <w:rFonts w:ascii="Times New Roman" w:hAnsi="Times New Roman" w:eastAsia="仿宋" w:cs="Times New Roman"/>
          <w:b/>
        </w:rPr>
        <w:t>表4-34-2 通化市柳河县生态环境准入清单</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97"/>
        <w:gridCol w:w="1747"/>
        <w:gridCol w:w="1764"/>
        <w:gridCol w:w="9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14"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413"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1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218"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03"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吉林哈泥国家级自然保护区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w:t>
            </w:r>
            <w:r>
              <w:rPr>
                <w:rFonts w:ascii="Times New Roman" w:hAnsi="Times New Roman" w:eastAsia="仿宋" w:cs="Times New Roman"/>
                <w:sz w:val="20"/>
                <w:szCs w:val="20"/>
              </w:rPr>
              <w:t>江河源头区域执行《水功能区监督管理办法》相关要求</w:t>
            </w:r>
            <w:r>
              <w:rPr>
                <w:rFonts w:ascii="Times New Roman" w:hAnsi="Times New Roman" w:eastAsia="仿宋" w:cs="Times New Roman"/>
                <w:kern w:val="0"/>
                <w:sz w:val="20"/>
                <w:szCs w:val="20"/>
              </w:rPr>
              <w:t>。</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ZH22052410002</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吉林哈泥国家级自然保护区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2自然保护区执行《中华人民共和国自然保护区条例》相关要求。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ZH22052410003</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吉林柳河罗通山珍稀植物省级自然保护区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ZH22052410004</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吉林柳河三仙夹国家森林公园</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国家级森林公园执行《国家级自然公园管理办法（试行）》相关要求。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ZH22052410005</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吉林三岔子国家森林公园</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国家级森林公园执行《国家级自然公园管理办法（试行）》相关要求。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ZH22052410006</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吉林五间房省级森林公园</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ZH22052410007</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柳河县柳河水库生活饮用水水源保护区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kern w:val="0"/>
                <w:sz w:val="20"/>
                <w:szCs w:val="20"/>
              </w:rPr>
            </w:pPr>
            <w:r>
              <w:rPr>
                <w:rFonts w:ascii="Times New Roman" w:hAnsi="Times New Roman" w:eastAsia="仿宋" w:cs="Times New Roman"/>
                <w:sz w:val="20"/>
                <w:szCs w:val="20"/>
              </w:rPr>
              <w:t>2</w:t>
            </w:r>
            <w:r>
              <w:rPr>
                <w:rFonts w:ascii="Times New Roman" w:hAnsi="Times New Roman" w:eastAsia="仿宋" w:cs="Times New Roman"/>
                <w:kern w:val="0"/>
                <w:sz w:val="20"/>
                <w:szCs w:val="20"/>
              </w:rPr>
              <w:t>饮用水水源保护区执行《中华人民共和国水污染防治法》《饮用水水源保护区污染防治管理规定》《吉林省城镇饮用水水源保护条例》相关要求。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ZH22052410008</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哈泥河东北七鳃鳗国家级水产种质资源保护区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kern w:val="0"/>
                <w:sz w:val="20"/>
                <w:szCs w:val="20"/>
              </w:rPr>
              <w:t>水产种质资源保护区执行《水产种质资源保护区管理办法》相关要求。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ZH22052410009</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柳河县国家级公益林</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2国家级公益林</w:t>
            </w:r>
            <w:r>
              <w:rPr>
                <w:rFonts w:ascii="Times New Roman" w:hAnsi="Times New Roman" w:eastAsia="仿宋" w:cs="Times New Roman"/>
                <w:kern w:val="0"/>
                <w:sz w:val="20"/>
                <w:szCs w:val="20"/>
              </w:rPr>
              <w:t>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ZH22052410010</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一统河水功能区一级区保护区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bCs/>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三统河水功能区一级区保护区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bCs/>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ZH22052410012</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哈泥河水功能区一级区保护区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江河源头区域执行《水功能区监督管理办法》相关要求。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ZH22052410013</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柳河县黑土地保护区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ZH22052410014</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柳河县水源涵养功能重要区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9黑土地保护区执行《吉林省黑土地保护条例》相关要求。开展坡耕地整治和侵蚀沟治理，防治水土流失；实施秸秆还田、增施有机肥、土壤酸化治理等农艺措施，修复农田生态。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r>
              <w:rPr>
                <w:rFonts w:hint="eastAsia" w:ascii="Times New Roman" w:hAnsi="Times New Roman" w:eastAsia="仿宋" w:cs="Times New Roman"/>
                <w:sz w:val="20"/>
                <w:szCs w:val="20"/>
              </w:rPr>
              <w:t>、</w:t>
            </w:r>
            <w:r>
              <w:rPr>
                <w:rFonts w:ascii="Times New Roman" w:hAnsi="Times New Roman" w:eastAsia="仿宋" w:cs="Times New Roman"/>
                <w:sz w:val="20"/>
                <w:szCs w:val="20"/>
              </w:rPr>
              <w:t>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水源涵养、防风固沙、水土保持、江河源头区域、黑土地保护区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ZH22052410015</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柳河县松嫩平原生物多样性维护功能生态保护红线</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ZH22052410016</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柳河县鸭绿江生物多样性维护功能生态保护红线</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ZH22052410017</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柳河县生物多样性维护功能生态保护红线</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ZH22052410018</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柳河县生物多样性重要区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生物多样性、水土保持、水土流失、江河源头区域、黑土地保护区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ZH22052410019</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柳河县松嫩平原水土保持功能生态保护红线</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2生态保护红线内江河源头区域执行《水功能区监督管理办法》相关要求。</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ZH22052410020</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柳河县水土保持功能重要区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6黑土地保护区执行《吉林省黑土地保护条例》相关要求。开展坡耕地整治和侵蚀沟治理，防治水土流失；实施秸秆还田、增施有机肥、土壤酸化治理等农艺措施，修复农田生态。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ZH22052410021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柳河县水土流失敏感区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6黑土地保护区执行《吉林省黑土地保护条例》相关要求。开展坡耕地整治和侵蚀沟治理，防治水土流失；实施秸秆还田、增施有机肥、土壤酸化治理等农艺措施，修复农田生态。</w:t>
            </w:r>
          </w:p>
        </w:tc>
        <w:tc>
          <w:tcPr>
            <w:tcW w:w="903"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ZH22052420001</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吉林柳河经济开发区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1严格控制高耗水、高污染行业发展。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2入区企业必须符合片区产业定位， 不允许不符合片区产业定位的企业入区。禁止不符合国家产业政策及完全不符合片区产业发展方向的项目入区。</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3禁止排放汞、镉、 六价铬重金属或持久性有机污染物的项目入区。</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4禁止片区从事危险化学品及其他有毒、有害物质的物流项目。</w:t>
            </w:r>
          </w:p>
        </w:tc>
        <w:tc>
          <w:tcPr>
            <w:tcW w:w="903"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水环境工业污染重点管控区、大气环境高排放重点管控区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吉林省大健康产业示范区、吉林省葡萄酒生产与研发中心、吉林省新材料产业集聚区、柳河县产业发展核心区与经济增长极</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医药大健康产业和新材料产业。</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w:t>
            </w:r>
            <w:r>
              <w:rPr>
                <w:rFonts w:ascii="Times New Roman" w:hAnsi="Times New Roman" w:eastAsia="仿宋" w:cs="Times New Roman"/>
                <w:kern w:val="0"/>
                <w:sz w:val="20"/>
                <w:szCs w:val="20"/>
              </w:rPr>
              <w:t>《中共吉林省委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2在造纸、化工、粮食深加工等重点行业推广实施节水改造和污水深度处理。鼓励钢铁、纺织印染、造纸、石油石化、化工、制革等高耗水企业废水深度处理回用。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3促进再生水的利用。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4完成吉林省下达的产能置换要求。各产业执行对应的清洁生产标准。</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ZH22052420002</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通化国际内陆港务区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3禁止在化工园区外新建、扩建化工项目，未纳入国家《石化产业规划布局方案》的新建炼化项目一律不得建设。</w:t>
            </w:r>
          </w:p>
        </w:tc>
        <w:tc>
          <w:tcPr>
            <w:tcW w:w="903"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进出口加工产业、临港产业、大健康产业、中医药产业、医药化工、精细化工、化工新材料产业、加工制造产业、商贸加工产业、绿色食品加工业、中草药种植业、旅游业、临空产业、先进装备制造业、高新技术产业</w:t>
            </w:r>
          </w:p>
          <w:p>
            <w:pPr>
              <w:jc w:val="left"/>
              <w:rPr>
                <w:rFonts w:ascii="Times New Roman" w:hAnsi="Times New Roman" w:eastAsia="仿宋" w:cs="Times New Roman"/>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18"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18"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2严格落实规划环评及其批复文件制定的环境风险防范措施。</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ZH22052420003</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柳河县城镇开发边界</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4严格控制新建有色金属冶炼、石油加工、化工、焦化、电镀、制革等具有有毒有害物质排放的行业企业。现有相关行业企业加快提标升级改造步伐，并应建立退出机制、制定治理方案及时间表。</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5推进城市建成区内现有钢铁、建材、有色金属、造纸、印染、原料药制造、化工等污染较重的企业有序搬迁改造或依法关闭。</w:t>
            </w:r>
          </w:p>
        </w:tc>
        <w:tc>
          <w:tcPr>
            <w:tcW w:w="903"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《关于开展畜禽养殖禁养区划定工作的通知》《吉林省生态环境保护“十四五”规划》《污染地块土壤环境管理办法（试行）》《工矿用地土壤环境管理办法（试行）》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1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03"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1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03"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ZH22052420004</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柳河县大气环境高排放重点管控区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03"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18" w:type="pct"/>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1"/>
              </w:rPr>
              <w:t>环境风险防控</w:t>
            </w:r>
          </w:p>
        </w:tc>
        <w:tc>
          <w:tcPr>
            <w:tcW w:w="2218" w:type="pct"/>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1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03"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ZH22052420005</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柳河县大气环境布局敏感重点管控区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03" w:type="pct"/>
            <w:vMerge w:val="restart"/>
            <w:tcBorders>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基于“三线一单”研究成果提出，《吉林省生态环境保护“十四五”规划》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18"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8" w:type="pct"/>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03"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ZH22052420006</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柳河县大气环境弱扩散重点管控区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03"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基于“三线一单”研究成果提出，《吉林省生态环境保护“十四五”规划》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1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4" w:type="pct"/>
            <w:vMerge w:val="continue"/>
            <w:noWrap/>
            <w:vAlign w:val="center"/>
          </w:tcPr>
          <w:p>
            <w:pPr>
              <w:jc w:val="left"/>
              <w:rPr>
                <w:rFonts w:ascii="Times New Roman" w:hAnsi="Times New Roman" w:eastAsia="仿宋" w:cs="Times New Roman"/>
                <w:sz w:val="20"/>
                <w:szCs w:val="20"/>
              </w:rPr>
            </w:pPr>
          </w:p>
        </w:tc>
        <w:tc>
          <w:tcPr>
            <w:tcW w:w="413" w:type="pct"/>
            <w:vMerge w:val="continue"/>
            <w:noWrap/>
            <w:vAlign w:val="center"/>
          </w:tcPr>
          <w:p>
            <w:pPr>
              <w:jc w:val="left"/>
              <w:rPr>
                <w:rFonts w:ascii="Times New Roman" w:hAnsi="Times New Roman" w:eastAsia="仿宋" w:cs="Times New Roman"/>
                <w:sz w:val="20"/>
                <w:szCs w:val="20"/>
              </w:rPr>
            </w:pP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03"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ZH22052420007</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柳河县水环境农业污染重点管控区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8"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03"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ZH22052420008</w:t>
            </w:r>
          </w:p>
        </w:tc>
        <w:tc>
          <w:tcPr>
            <w:tcW w:w="614"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柳河县建设用地污染风险重点管控区</w:t>
            </w:r>
          </w:p>
        </w:tc>
        <w:tc>
          <w:tcPr>
            <w:tcW w:w="413"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7"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8"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03"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3" w:type="pct"/>
            <w:vMerge w:val="continue"/>
            <w:noWrap/>
            <w:vAlign w:val="center"/>
          </w:tcPr>
          <w:p>
            <w:pPr>
              <w:jc w:val="left"/>
              <w:rPr>
                <w:rFonts w:ascii="Times New Roman" w:hAnsi="Times New Roman" w:eastAsia="仿宋" w:cs="Times New Roman"/>
                <w:color w:val="FF0000"/>
                <w:sz w:val="20"/>
                <w:szCs w:val="20"/>
              </w:rPr>
            </w:pPr>
          </w:p>
        </w:tc>
        <w:tc>
          <w:tcPr>
            <w:tcW w:w="417"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8"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03"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4" w:type="pct"/>
            <w:vMerge w:val="continue"/>
            <w:noWrap/>
            <w:vAlign w:val="center"/>
          </w:tcPr>
          <w:p>
            <w:pPr>
              <w:jc w:val="left"/>
              <w:rPr>
                <w:rFonts w:ascii="Times New Roman" w:hAnsi="Times New Roman" w:eastAsia="仿宋" w:cs="Times New Roman"/>
                <w:color w:val="FF0000"/>
                <w:sz w:val="20"/>
                <w:szCs w:val="20"/>
              </w:rPr>
            </w:pPr>
          </w:p>
        </w:tc>
        <w:tc>
          <w:tcPr>
            <w:tcW w:w="413" w:type="pct"/>
            <w:vMerge w:val="continue"/>
            <w:noWrap/>
            <w:vAlign w:val="center"/>
          </w:tcPr>
          <w:p>
            <w:pPr>
              <w:jc w:val="left"/>
              <w:rPr>
                <w:rFonts w:ascii="Times New Roman" w:hAnsi="Times New Roman" w:eastAsia="仿宋" w:cs="Times New Roman"/>
                <w:color w:val="FF0000"/>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18"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3"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ZH22052420009</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辉南-靖宇矿泉水重点矿区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18"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03"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辉南-靖宇矿泉水重点矿区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ZH22052430001</w:t>
            </w:r>
          </w:p>
        </w:tc>
        <w:tc>
          <w:tcPr>
            <w:tcW w:w="614"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柳河县一般管控区</w:t>
            </w:r>
          </w:p>
        </w:tc>
        <w:tc>
          <w:tcPr>
            <w:tcW w:w="413"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8"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rPr>
      </w:pPr>
    </w:p>
    <w:p>
      <w:pPr>
        <w:keepNext/>
        <w:keepLines/>
        <w:spacing w:before="260" w:after="260"/>
        <w:outlineLvl w:val="1"/>
        <w:rPr>
          <w:rFonts w:ascii="Times New Roman" w:hAnsi="Times New Roman" w:eastAsia="仿宋" w:cs="Times New Roman"/>
          <w:b/>
          <w:bCs/>
          <w:sz w:val="32"/>
          <w:szCs w:val="32"/>
        </w:rPr>
      </w:pPr>
      <w:bookmarkStart w:id="111" w:name="_Toc10049"/>
      <w:r>
        <w:rPr>
          <w:rFonts w:ascii="Times New Roman" w:hAnsi="Times New Roman" w:eastAsia="仿宋" w:cs="Times New Roman"/>
          <w:b/>
          <w:bCs/>
          <w:sz w:val="32"/>
          <w:szCs w:val="32"/>
        </w:rPr>
        <w:t>（三十五）通化市集安市生态环境准入清单</w:t>
      </w:r>
      <w:bookmarkEnd w:id="111"/>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表4-35-1通化市集安市区域特征研判</w:t>
      </w:r>
    </w:p>
    <w:tbl>
      <w:tblPr>
        <w:tblStyle w:val="1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6842"/>
        <w:gridCol w:w="494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1.《吉林省主体功能区规划》中的国家重点生态功能区。</w:t>
            </w:r>
          </w:p>
          <w:p>
            <w:pPr>
              <w:rPr>
                <w:rFonts w:ascii="Times New Roman" w:hAnsi="Times New Roman" w:eastAsia="仿宋" w:cs="Times New Roman"/>
                <w:kern w:val="0"/>
                <w:szCs w:val="21"/>
              </w:rPr>
            </w:pPr>
            <w:r>
              <w:rPr>
                <w:rFonts w:ascii="Times New Roman" w:hAnsi="Times New Roman" w:eastAsia="仿宋" w:cs="Times New Roman"/>
                <w:kern w:val="0"/>
                <w:szCs w:val="21"/>
              </w:rPr>
              <w:t>位于长白山森林生态功能区，属于国家级水源涵养型重点生态功能区。</w:t>
            </w:r>
          </w:p>
          <w:p>
            <w:pPr>
              <w:rPr>
                <w:rFonts w:ascii="Times New Roman" w:hAnsi="Times New Roman" w:eastAsia="仿宋" w:cs="Times New Roman"/>
                <w:kern w:val="0"/>
                <w:szCs w:val="21"/>
              </w:rPr>
            </w:pPr>
            <w:r>
              <w:rPr>
                <w:rFonts w:ascii="Times New Roman" w:hAnsi="Times New Roman" w:eastAsia="仿宋" w:cs="Times New Roman"/>
                <w:kern w:val="0"/>
                <w:szCs w:val="21"/>
              </w:rPr>
              <w:t>3. 隶属于吉林省通化市，位于吉林省东南部，东南与朝鲜民主主义人民共和国隔鸭绿江相望，是我国对朝三大口岸之一，西南与辽宁省接壤，北与通化市接壤。总面积3348平方千米。辖4个街道、9个镇、2个乡、1个省级经济开发区。</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以绿色振兴为主题，以转型升级为主线，实施生态立市、旅游强市、开放活市、文化塑市、依法治市“五大战略”，发展旅游、健康、新材料和高端矿产制造、外经外贸“四大产业”，建设国家边境经济合作区、国家全域旅游示范区、全国健康产业示范区、国家战略新材料和高端矿产加工区、全国生态文明建设示范区“五大功能区”，努力把集安建设成为鸭绿江国际经济合作先导区、全省绿色转型发展示范区和东北亚生态文化旅游目的地。</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水土流失。</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吉林集安五女峰国家级自然保护区</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吉林集安榆林省级森林公园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吉林集安砬子沟省级森林公园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吉林集安霸王潮国家湿地公园</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集安市通沟河生活饮用水水源保护区</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鸭绿江云峰段斑鳜茴鱼国家级水产种质资源保护区</w:t>
            </w:r>
            <w:r>
              <w:rPr>
                <w:rFonts w:hint="eastAsia" w:ascii="Times New Roman" w:hAnsi="Times New Roman" w:eastAsia="仿宋" w:cs="Times New Roman"/>
                <w:kern w:val="0"/>
                <w:szCs w:val="21"/>
              </w:rPr>
              <w:t>、</w:t>
            </w:r>
            <w:r>
              <w:rPr>
                <w:rFonts w:ascii="Times New Roman" w:hAnsi="Times New Roman" w:eastAsia="仿宋" w:cs="Times New Roman"/>
                <w:kern w:val="0"/>
                <w:szCs w:val="21"/>
              </w:rPr>
              <w:t>鸭绿江集安段石川氏哲罗鱼国家级水产种质资源保护区、集安市国家级公益林。</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kern w:val="0"/>
                <w:szCs w:val="21"/>
              </w:rPr>
            </w:pPr>
            <w:r>
              <w:rPr>
                <w:rFonts w:ascii="Times New Roman" w:hAnsi="Times New Roman" w:eastAsia="仿宋" w:cs="Times New Roman"/>
                <w:kern w:val="0"/>
                <w:szCs w:val="21"/>
              </w:rPr>
              <w:t>（2）确保人类开发活动不挤占耕地。</w:t>
            </w:r>
          </w:p>
          <w:p>
            <w:pPr>
              <w:rPr>
                <w:rFonts w:ascii="Times New Roman" w:hAnsi="Times New Roman" w:eastAsia="仿宋" w:cs="Times New Roman"/>
                <w:kern w:val="0"/>
                <w:szCs w:val="21"/>
              </w:rPr>
            </w:pPr>
            <w:r>
              <w:rPr>
                <w:rFonts w:ascii="Times New Roman" w:hAnsi="Times New Roman" w:eastAsia="仿宋" w:cs="Times New Roman"/>
                <w:kern w:val="0"/>
                <w:szCs w:val="21"/>
              </w:rPr>
              <w:t>（3）加强水土流失预防和治理。</w:t>
            </w:r>
          </w:p>
        </w:tc>
      </w:tr>
    </w:tbl>
    <w:p>
      <w:pPr>
        <w:pStyle w:val="18"/>
        <w:rPr>
          <w:rFonts w:ascii="Times New Roman" w:hAnsi="Times New Roman" w:eastAsia="仿宋" w:cs="Times New Roman"/>
          <w:b/>
          <w:kern w:val="0"/>
          <w:sz w:val="24"/>
          <w:szCs w:val="24"/>
        </w:rPr>
      </w:pPr>
    </w:p>
    <w:p>
      <w:pPr>
        <w:jc w:val="center"/>
        <w:rPr>
          <w:rFonts w:ascii="Times New Roman" w:hAnsi="Times New Roman" w:eastAsia="仿宋" w:cs="Times New Roman"/>
          <w:b/>
        </w:rPr>
      </w:pPr>
      <w:r>
        <w:rPr>
          <w:rFonts w:ascii="Times New Roman" w:hAnsi="Times New Roman" w:eastAsia="仿宋" w:cs="Times New Roman"/>
          <w:b/>
        </w:rPr>
        <w:t>表4-35-2 通化市集安市生态环境准入清单</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602"/>
        <w:gridCol w:w="1629"/>
        <w:gridCol w:w="1705"/>
        <w:gridCol w:w="9548"/>
        <w:gridCol w:w="3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环境管控单元编码</w:t>
            </w:r>
          </w:p>
        </w:tc>
        <w:tc>
          <w:tcPr>
            <w:tcW w:w="615"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环境管控单元名称</w:t>
            </w:r>
          </w:p>
        </w:tc>
        <w:tc>
          <w:tcPr>
            <w:tcW w:w="385" w:type="pct"/>
            <w:noWrap/>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管控单元分类</w:t>
            </w:r>
          </w:p>
        </w:tc>
        <w:tc>
          <w:tcPr>
            <w:tcW w:w="403"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管控类型</w:t>
            </w:r>
          </w:p>
        </w:tc>
        <w:tc>
          <w:tcPr>
            <w:tcW w:w="225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管控要求</w:t>
            </w:r>
          </w:p>
        </w:tc>
        <w:tc>
          <w:tcPr>
            <w:tcW w:w="907" w:type="pct"/>
            <w:vAlign w:val="center"/>
          </w:tcPr>
          <w:p>
            <w:pPr>
              <w:jc w:val="center"/>
              <w:rPr>
                <w:rFonts w:ascii="Times New Roman" w:hAnsi="Times New Roman" w:eastAsia="仿宋" w:cs="Times New Roman"/>
                <w:b/>
                <w:bCs/>
                <w:sz w:val="20"/>
                <w:szCs w:val="20"/>
              </w:rPr>
            </w:pPr>
            <w:r>
              <w:rPr>
                <w:rFonts w:ascii="Times New Roman" w:hAnsi="Times New Roman" w:eastAsia="仿宋" w:cs="Times New Roman"/>
                <w:b/>
                <w:bCs/>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ZH22058210001</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吉林集安五女峰国家级自然保护区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w:t>
            </w:r>
            <w:r>
              <w:rPr>
                <w:rFonts w:ascii="Times New Roman" w:hAnsi="Times New Roman" w:eastAsia="仿宋" w:cs="Times New Roman"/>
                <w:kern w:val="0"/>
                <w:sz w:val="20"/>
                <w:szCs w:val="20"/>
              </w:rPr>
              <w:t>自然保护区执行《中华人民共和国自然保护区条例》相关要求。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ZH22058210002</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吉林集安榆林省级森林公园</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2生态保护红线内水产种质资源保护区执行《水产种质资源保护区管理办法》相关要求。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ZH22058210003</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吉林集安砬子沟省级森林公园</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ZH22058210004</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吉林集安霸王潮国家湿地公园</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ZH22058210005</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集安市通沟河生活饮用水水源保护区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kern w:val="0"/>
                <w:sz w:val="20"/>
                <w:szCs w:val="20"/>
              </w:rPr>
              <w:t>饮用水水源保护区执行《中华人民共和国水污染防治法》《饮用水水源保护区污染防治管理规定》《吉林省城镇饮用水水源保护条例》相关要求。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ZH22058210006</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鸭绿江云峰段斑鳜茴鱼国家级水产种质资源保护区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ZH22058210007</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鸭绿江集安段石川氏哲罗鱼国家级水产种质资源保护区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ZH22058210008</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集安市国家级公益林</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2国家级公益林</w:t>
            </w:r>
            <w:r>
              <w:rPr>
                <w:rFonts w:ascii="Times New Roman" w:hAnsi="Times New Roman" w:eastAsia="仿宋" w:cs="Times New Roman"/>
                <w:kern w:val="0"/>
                <w:sz w:val="20"/>
                <w:szCs w:val="20"/>
              </w:rPr>
              <w:t>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ZH22058210009</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集安市水源涵养功能重要区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7原则上不再新建各类产业园区，严禁随意扩大现有产业园区范围。以工业为主的产业园区应加快完成园区的循环化改造，鼓励推进低消耗、可循环、少排放的生态型工业区建设。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8</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ZH22058210010</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集安市生物多样性维护功能生态保护红线</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ZH22058210011</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集安市鸭绿江生物多样性维护功能生态保护红线</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ZH22058210012</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集安市生物多样性重要区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ZH22058210013</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集安市水土保持功能重要区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ZH22058210014</w:t>
            </w:r>
          </w:p>
        </w:tc>
        <w:tc>
          <w:tcPr>
            <w:tcW w:w="615" w:type="pct"/>
            <w:tcBorders>
              <w:bottom w:val="single" w:color="auto" w:sz="4" w:space="0"/>
            </w:tcBorders>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集安市水土流失敏感区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ZH22058220001</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吉林集安边境经济合作区</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1严格控制高耗水、高污染行业发展。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2必须符合国家产业政策和清洁生产原则，严格限制耗能高、污染源治理难度大、对生态环境影响大的重污染行业入驻。</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tc>
        <w:tc>
          <w:tcPr>
            <w:tcW w:w="90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是集安市重要的旅游产业集聚区、是集安市城市发展不可分割的有机组成部分。</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旅游、进出口加工、医药、采矿、食品、仓储物流</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《吉林省生态环境保护“十四五”规划》</w:t>
            </w:r>
            <w:r>
              <w:rPr>
                <w:rFonts w:ascii="Times New Roman" w:hAnsi="Times New Roman" w:eastAsia="仿宋" w:cs="Times New Roman"/>
                <w:kern w:val="0"/>
                <w:sz w:val="20"/>
                <w:szCs w:val="20"/>
              </w:rPr>
              <w:t>《企业事业单位突发环境事件应急预案备案管理办法（试行）》《吉林省“十四五”节能减排综合实施方案》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5" w:type="pct"/>
            <w:vMerge w:val="continue"/>
            <w:noWrap/>
            <w:vAlign w:val="center"/>
          </w:tcPr>
          <w:p>
            <w:pPr>
              <w:jc w:val="left"/>
              <w:rPr>
                <w:rFonts w:ascii="Times New Roman" w:hAnsi="Times New Roman" w:eastAsia="仿宋" w:cs="Times New Roman"/>
                <w:color w:val="FF0000"/>
                <w:sz w:val="20"/>
                <w:szCs w:val="20"/>
              </w:rPr>
            </w:pPr>
          </w:p>
        </w:tc>
        <w:tc>
          <w:tcPr>
            <w:tcW w:w="385" w:type="pct"/>
            <w:vMerge w:val="continue"/>
            <w:noWrap/>
            <w:vAlign w:val="center"/>
          </w:tcPr>
          <w:p>
            <w:pPr>
              <w:jc w:val="left"/>
              <w:rPr>
                <w:rFonts w:ascii="Times New Roman" w:hAnsi="Times New Roman" w:eastAsia="仿宋" w:cs="Times New Roman"/>
                <w:color w:val="FF0000"/>
                <w:sz w:val="20"/>
                <w:szCs w:val="20"/>
              </w:rPr>
            </w:pPr>
          </w:p>
        </w:tc>
        <w:tc>
          <w:tcPr>
            <w:tcW w:w="403"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污染物排放管控</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5" w:type="pct"/>
            <w:vMerge w:val="continue"/>
            <w:noWrap/>
            <w:vAlign w:val="center"/>
          </w:tcPr>
          <w:p>
            <w:pPr>
              <w:jc w:val="left"/>
              <w:rPr>
                <w:rFonts w:ascii="Times New Roman" w:hAnsi="Times New Roman" w:eastAsia="仿宋" w:cs="Times New Roman"/>
                <w:color w:val="FF0000"/>
                <w:sz w:val="20"/>
                <w:szCs w:val="20"/>
              </w:rPr>
            </w:pPr>
          </w:p>
        </w:tc>
        <w:tc>
          <w:tcPr>
            <w:tcW w:w="385" w:type="pct"/>
            <w:vMerge w:val="continue"/>
            <w:noWrap/>
            <w:vAlign w:val="center"/>
          </w:tcPr>
          <w:p>
            <w:pPr>
              <w:jc w:val="left"/>
              <w:rPr>
                <w:rFonts w:ascii="Times New Roman" w:hAnsi="Times New Roman" w:eastAsia="仿宋" w:cs="Times New Roman"/>
                <w:color w:val="FF0000"/>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5" w:type="pct"/>
            <w:vMerge w:val="continue"/>
            <w:noWrap/>
            <w:vAlign w:val="center"/>
          </w:tcPr>
          <w:p>
            <w:pPr>
              <w:jc w:val="left"/>
              <w:rPr>
                <w:rFonts w:ascii="Times New Roman" w:hAnsi="Times New Roman" w:eastAsia="仿宋" w:cs="Times New Roman"/>
                <w:color w:val="FF0000"/>
                <w:sz w:val="20"/>
                <w:szCs w:val="20"/>
              </w:rPr>
            </w:pPr>
          </w:p>
        </w:tc>
        <w:tc>
          <w:tcPr>
            <w:tcW w:w="385" w:type="pct"/>
            <w:vMerge w:val="continue"/>
            <w:noWrap/>
            <w:vAlign w:val="center"/>
          </w:tcPr>
          <w:p>
            <w:pPr>
              <w:jc w:val="left"/>
              <w:rPr>
                <w:rFonts w:ascii="Times New Roman" w:hAnsi="Times New Roman" w:eastAsia="仿宋" w:cs="Times New Roman"/>
                <w:color w:val="FF0000"/>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3各产业执行对应的清洁生产标准。</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ZH22058220002</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集安市城镇开发边界</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3依法加快城市建成区重污染企业搬迁改造或关闭退出，对城市建成区内的铁合金、水泥、化工等工业企业进行全面清理，对高耗能、高排放、低效益、规模小的工业企业依法按期予以关停淘汰。</w:t>
            </w:r>
          </w:p>
        </w:tc>
        <w:tc>
          <w:tcPr>
            <w:tcW w:w="907"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大气环境受体敏感重点管控区、水环境城镇生活污染重点管控区、建设用地污染风险重点管控区、通化财源晶质石墨矿重点矿区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07" w:type="pct"/>
            <w:vMerge w:val="continue"/>
            <w:vAlign w:val="center"/>
          </w:tcPr>
          <w:p>
            <w:pPr>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5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ZH22058220003</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集安市大气环境高排放重点管控区</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0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《中共吉林省委 吉林省人民政府关于深入打好污染防治攻坚战的实施意见》《吉林省减污降碳协同增效实施方案》《吉林省生态环境保护“十四五”规划》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5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07"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1"/>
              </w:rPr>
              <w:t>环境风险防控</w:t>
            </w:r>
          </w:p>
        </w:tc>
        <w:tc>
          <w:tcPr>
            <w:tcW w:w="2257" w:type="pct"/>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07" w:type="pct"/>
            <w:vMerge w:val="continue"/>
            <w:vAlign w:val="center"/>
          </w:tcPr>
          <w:p>
            <w:pPr>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5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07" w:type="pct"/>
            <w:vMerge w:val="continue"/>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ZH22058220004</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集安市大气环境布局敏感重点管控区</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大气环境布局敏感重点管控区、集安市双赢矿业有限公司南砬子沟铁矿、集安市鸿源矿业有限公司砬子沟铁矿、集安市东升矿业有限责任公司砬子沟铁矿西部采区</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1"/>
              </w:rPr>
              <w:t>环境风险防控</w:t>
            </w:r>
          </w:p>
        </w:tc>
        <w:tc>
          <w:tcPr>
            <w:tcW w:w="2257" w:type="pct"/>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07" w:type="pct"/>
            <w:vMerge w:val="continue"/>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ZH22058220005</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集安市大气环境弱扩散重点管控区</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大气环境弱扩散重点管控区、建设用地污染风险重点管控区、通化财源晶质石墨矿重点矿区、集安古马岭金矿重点矿区、吉林省万国黄金股份有限公司金厂沟金矿</w:t>
            </w:r>
          </w:p>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sz w:val="20"/>
                <w:szCs w:val="20"/>
              </w:rPr>
            </w:pPr>
          </w:p>
        </w:tc>
        <w:tc>
          <w:tcPr>
            <w:tcW w:w="615" w:type="pct"/>
            <w:vMerge w:val="continue"/>
            <w:noWrap/>
            <w:vAlign w:val="center"/>
          </w:tcPr>
          <w:p>
            <w:pPr>
              <w:jc w:val="left"/>
              <w:rPr>
                <w:rFonts w:ascii="Times New Roman" w:hAnsi="Times New Roman" w:eastAsia="仿宋" w:cs="Times New Roman"/>
                <w:sz w:val="20"/>
                <w:szCs w:val="20"/>
              </w:rPr>
            </w:pPr>
          </w:p>
        </w:tc>
        <w:tc>
          <w:tcPr>
            <w:tcW w:w="385" w:type="pct"/>
            <w:vMerge w:val="continue"/>
            <w:noWrap/>
            <w:vAlign w:val="center"/>
          </w:tcPr>
          <w:p>
            <w:pPr>
              <w:jc w:val="left"/>
              <w:rPr>
                <w:rFonts w:ascii="Times New Roman" w:hAnsi="Times New Roman" w:eastAsia="仿宋" w:cs="Times New Roman"/>
                <w:sz w:val="20"/>
                <w:szCs w:val="20"/>
              </w:rPr>
            </w:pP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1"/>
              </w:rPr>
              <w:t>环境风险防控</w:t>
            </w:r>
          </w:p>
        </w:tc>
        <w:tc>
          <w:tcPr>
            <w:tcW w:w="2257" w:type="pct"/>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ZH22058220006</w:t>
            </w:r>
          </w:p>
        </w:tc>
        <w:tc>
          <w:tcPr>
            <w:tcW w:w="61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集安市建设用地污染风险重点管控区</w:t>
            </w:r>
          </w:p>
        </w:tc>
        <w:tc>
          <w:tcPr>
            <w:tcW w:w="385" w:type="pct"/>
            <w:vMerge w:val="restar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0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07"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《中共中央 国务院关于深入打好污染防治攻坚战的意见》《污染地块土壤环境管理办法（试行）》《工矿用地土壤环境管理办法（试行）》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5" w:type="pct"/>
            <w:vMerge w:val="continue"/>
            <w:noWrap/>
            <w:vAlign w:val="center"/>
          </w:tcPr>
          <w:p>
            <w:pPr>
              <w:jc w:val="left"/>
              <w:rPr>
                <w:rFonts w:ascii="Times New Roman" w:hAnsi="Times New Roman" w:eastAsia="仿宋" w:cs="Times New Roman"/>
                <w:color w:val="FF0000"/>
                <w:sz w:val="20"/>
                <w:szCs w:val="20"/>
              </w:rPr>
            </w:pPr>
          </w:p>
        </w:tc>
        <w:tc>
          <w:tcPr>
            <w:tcW w:w="385" w:type="pct"/>
            <w:vMerge w:val="continue"/>
            <w:noWrap/>
            <w:vAlign w:val="center"/>
          </w:tcPr>
          <w:p>
            <w:pPr>
              <w:jc w:val="left"/>
              <w:rPr>
                <w:rFonts w:ascii="Times New Roman" w:hAnsi="Times New Roman" w:eastAsia="仿宋" w:cs="Times New Roman"/>
                <w:color w:val="FF0000"/>
                <w:sz w:val="20"/>
                <w:szCs w:val="20"/>
              </w:rPr>
            </w:pPr>
          </w:p>
        </w:tc>
        <w:tc>
          <w:tcPr>
            <w:tcW w:w="40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07" w:type="pct"/>
            <w:vMerge w:val="continue"/>
            <w:vAlign w:val="center"/>
          </w:tcPr>
          <w:p>
            <w:pPr>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jc w:val="left"/>
              <w:rPr>
                <w:rFonts w:ascii="Times New Roman" w:hAnsi="Times New Roman" w:eastAsia="仿宋" w:cs="Times New Roman"/>
                <w:color w:val="FF0000"/>
                <w:sz w:val="20"/>
                <w:szCs w:val="20"/>
              </w:rPr>
            </w:pPr>
          </w:p>
        </w:tc>
        <w:tc>
          <w:tcPr>
            <w:tcW w:w="615" w:type="pct"/>
            <w:vMerge w:val="continue"/>
            <w:noWrap/>
            <w:vAlign w:val="center"/>
          </w:tcPr>
          <w:p>
            <w:pPr>
              <w:jc w:val="left"/>
              <w:rPr>
                <w:rFonts w:ascii="Times New Roman" w:hAnsi="Times New Roman" w:eastAsia="仿宋" w:cs="Times New Roman"/>
                <w:color w:val="FF0000"/>
                <w:sz w:val="20"/>
                <w:szCs w:val="20"/>
              </w:rPr>
            </w:pPr>
          </w:p>
        </w:tc>
        <w:tc>
          <w:tcPr>
            <w:tcW w:w="385" w:type="pct"/>
            <w:vMerge w:val="continue"/>
            <w:noWrap/>
            <w:vAlign w:val="center"/>
          </w:tcPr>
          <w:p>
            <w:pPr>
              <w:jc w:val="left"/>
              <w:rPr>
                <w:rFonts w:ascii="Times New Roman" w:hAnsi="Times New Roman" w:eastAsia="仿宋" w:cs="Times New Roman"/>
                <w:color w:val="FF0000"/>
                <w:sz w:val="20"/>
                <w:szCs w:val="20"/>
              </w:rPr>
            </w:pPr>
          </w:p>
        </w:tc>
        <w:tc>
          <w:tcPr>
            <w:tcW w:w="40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环境风险防控</w:t>
            </w:r>
          </w:p>
        </w:tc>
        <w:tc>
          <w:tcPr>
            <w:tcW w:w="225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07" w:type="pct"/>
            <w:vMerge w:val="continue"/>
            <w:vAlign w:val="center"/>
          </w:tcPr>
          <w:p>
            <w:pPr>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ZH22058220007</w:t>
            </w:r>
          </w:p>
        </w:tc>
        <w:tc>
          <w:tcPr>
            <w:tcW w:w="61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集安市二道村晶质石墨矿（西段）</w:t>
            </w:r>
          </w:p>
        </w:tc>
        <w:tc>
          <w:tcPr>
            <w:tcW w:w="385" w:type="pct"/>
            <w:noWrap/>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5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集安市二道村晶质石墨矿（西段）</w:t>
            </w:r>
          </w:p>
          <w:p>
            <w:pPr>
              <w:rPr>
                <w:rFonts w:ascii="Times New Roman" w:hAnsi="Times New Roman" w:eastAsia="仿宋" w:cs="Times New Roman"/>
                <w:b/>
                <w:bCs/>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ZH22058220008</w:t>
            </w:r>
          </w:p>
        </w:tc>
        <w:tc>
          <w:tcPr>
            <w:tcW w:w="61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集安古马岭金矿重点矿区</w:t>
            </w:r>
          </w:p>
        </w:tc>
        <w:tc>
          <w:tcPr>
            <w:tcW w:w="385" w:type="pct"/>
            <w:noWrap/>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5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集安古马岭金矿重点矿区</w:t>
            </w:r>
          </w:p>
          <w:p>
            <w:pPr>
              <w:rPr>
                <w:rFonts w:ascii="Times New Roman" w:hAnsi="Times New Roman" w:eastAsia="仿宋" w:cs="Times New Roman"/>
                <w:b/>
                <w:bCs/>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ZH22058220009</w:t>
            </w:r>
          </w:p>
        </w:tc>
        <w:tc>
          <w:tcPr>
            <w:tcW w:w="61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吉林省集安市清河镇二道村石墨矿勘探</w:t>
            </w:r>
          </w:p>
        </w:tc>
        <w:tc>
          <w:tcPr>
            <w:tcW w:w="385" w:type="pct"/>
            <w:noWrap/>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2-重点管控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257"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07"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吉林省集安市清河镇二道村石墨矿勘探</w:t>
            </w:r>
          </w:p>
          <w:p>
            <w:pPr>
              <w:rPr>
                <w:rFonts w:ascii="Times New Roman" w:hAnsi="Times New Roman" w:eastAsia="仿宋" w:cs="Times New Roman"/>
                <w:b/>
                <w:bCs/>
                <w:color w:val="FF000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ZH22058230001</w:t>
            </w:r>
          </w:p>
        </w:tc>
        <w:tc>
          <w:tcPr>
            <w:tcW w:w="61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集安市一般管控区</w:t>
            </w:r>
          </w:p>
        </w:tc>
        <w:tc>
          <w:tcPr>
            <w:tcW w:w="385" w:type="pct"/>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0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07" w:type="pct"/>
            <w:vAlign w:val="center"/>
          </w:tcPr>
          <w:p>
            <w:pPr>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rPr>
      </w:pPr>
    </w:p>
    <w:p>
      <w:pPr>
        <w:keepNext/>
        <w:keepLines/>
        <w:spacing w:before="260" w:after="260"/>
        <w:outlineLvl w:val="1"/>
        <w:rPr>
          <w:rFonts w:ascii="Times New Roman" w:hAnsi="Times New Roman" w:eastAsia="仿宋" w:cs="Times New Roman"/>
          <w:b/>
          <w:bCs/>
          <w:sz w:val="32"/>
          <w:szCs w:val="32"/>
        </w:rPr>
      </w:pPr>
      <w:bookmarkStart w:id="112" w:name="_Toc26722"/>
      <w:r>
        <w:rPr>
          <w:rFonts w:ascii="Times New Roman" w:hAnsi="Times New Roman" w:eastAsia="仿宋" w:cs="Times New Roman"/>
          <w:b/>
          <w:bCs/>
          <w:sz w:val="32"/>
          <w:szCs w:val="32"/>
        </w:rPr>
        <w:t>（三十六） 白山市浑江区生态环境准入清单</w:t>
      </w:r>
      <w:bookmarkEnd w:id="112"/>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表4-36-1 白山市浑江区区域特征研判</w:t>
      </w:r>
    </w:p>
    <w:tbl>
      <w:tblPr>
        <w:tblStyle w:val="19"/>
        <w:tblW w:w="5000" w:type="pct"/>
        <w:tblInd w:w="0" w:type="dxa"/>
        <w:tblLayout w:type="autofit"/>
        <w:tblCellMar>
          <w:top w:w="0" w:type="dxa"/>
          <w:left w:w="108" w:type="dxa"/>
          <w:bottom w:w="0" w:type="dxa"/>
          <w:right w:w="108" w:type="dxa"/>
        </w:tblCellMar>
      </w:tblPr>
      <w:tblGrid>
        <w:gridCol w:w="4754"/>
        <w:gridCol w:w="6843"/>
        <w:gridCol w:w="4944"/>
        <w:gridCol w:w="4606"/>
      </w:tblGrid>
      <w:tr>
        <w:tblPrEx>
          <w:tblCellMar>
            <w:top w:w="0" w:type="dxa"/>
            <w:left w:w="108" w:type="dxa"/>
            <w:bottom w:w="0" w:type="dxa"/>
            <w:right w:w="108" w:type="dxa"/>
          </w:tblCellMar>
        </w:tblPrEx>
        <w:trPr>
          <w:trHeight w:val="268"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管控目标</w:t>
            </w:r>
          </w:p>
        </w:tc>
      </w:tr>
      <w:tr>
        <w:tblPrEx>
          <w:tblCellMar>
            <w:top w:w="0" w:type="dxa"/>
            <w:left w:w="108" w:type="dxa"/>
            <w:bottom w:w="0" w:type="dxa"/>
            <w:right w:w="108" w:type="dxa"/>
          </w:tblCellMar>
        </w:tblPrEx>
        <w:trPr>
          <w:trHeight w:val="362" w:hRule="atLeast"/>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位于吉林省东南部，长白山麓，西接通化市通化县，北于柳河县交界，南与集安市接壤，东临江源县和临江市，东南与朝鲜民主主义共和国隔江相望，总面积1388平方公里，下辖4镇和8个乡镇级街道。</w:t>
            </w: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1.加强以白山中心城区（浑江区、江源区）为依托的主核一体化区域和以松江河为依托的抚松新城副核一体化区域对市域发展的带动作用，形成区域经济发展、产业转型和人口承载力强的重要支撑区域。</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加快浑江区沙棘种植及深加工，</w:t>
            </w:r>
            <w:r>
              <w:rPr>
                <w:rFonts w:ascii="Times New Roman" w:hAnsi="Times New Roman" w:eastAsia="仿宋" w:cs="Times New Roman"/>
                <w:bCs/>
                <w:szCs w:val="21"/>
              </w:rPr>
              <w:t>推进浑江区非林地人参品种繁育项目。</w:t>
            </w:r>
          </w:p>
          <w:p>
            <w:pPr>
              <w:rPr>
                <w:rFonts w:ascii="Times New Roman" w:hAnsi="Times New Roman" w:eastAsia="仿宋" w:cs="Times New Roman"/>
                <w:bCs/>
                <w:szCs w:val="21"/>
              </w:rPr>
            </w:pPr>
            <w:r>
              <w:rPr>
                <w:rFonts w:ascii="Times New Roman" w:hAnsi="Times New Roman" w:eastAsia="仿宋" w:cs="Times New Roman"/>
                <w:bCs/>
                <w:szCs w:val="21"/>
              </w:rPr>
              <w:t>3.</w:t>
            </w:r>
            <w:r>
              <w:rPr>
                <w:rFonts w:ascii="Times New Roman" w:hAnsi="Times New Roman" w:eastAsia="仿宋" w:cs="Times New Roman"/>
                <w:szCs w:val="24"/>
              </w:rPr>
              <w:t>推进中心城市扩容升级，强化浑江区、江源区组团发展，建设中心城区周边城镇功能空间，不断拓展中心城区发展空间，实现中心城区区域的一体化发展，以能源、矿产新材料、冶金、医药、林木加工、服务业等为支撑，形成产业互补、交通一体、服务共享、生态共建的空间发展格局。</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地表水污染。</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白山原麝国家级自然保护区；龙山湖国家森林公园；曲家营水库饮用水水源地保护区；吉林老梁山省级森林公园；吉林白山市青山湖风景名胜区；吉林白山市长白山迷宫风景名胜区；吉林白山珠宝河国家湿地公园；吉林五间房省级森林公园；</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（1）改善区域水环境质量。</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表4-36-2 白山市浑江区生态环境准入清单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17"/>
        <w:gridCol w:w="1566"/>
        <w:gridCol w:w="1649"/>
        <w:gridCol w:w="9485"/>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bookmarkStart w:id="113" w:name="_Hlk38962809"/>
            <w:r>
              <w:rPr>
                <w:rFonts w:ascii="Times New Roman" w:hAnsi="Times New Roman" w:eastAsia="仿宋" w:cs="Times New Roman"/>
                <w:b/>
                <w:kern w:val="0"/>
                <w:sz w:val="20"/>
                <w:szCs w:val="20"/>
              </w:rPr>
              <w:t>环境管控单元编码</w:t>
            </w:r>
          </w:p>
        </w:tc>
        <w:tc>
          <w:tcPr>
            <w:tcW w:w="59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37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39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24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9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bookmarkEnd w:id="1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ZH22060210001</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吉林白山原麝国家级自然保护区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ZH22060210002</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吉林白山原麝国家级自然保护区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2自然保护区执行《中华人民共和国自然保护区条例》相关要求。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ZH22060210003</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吉林龙山湖国家级森林公园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ZH22060210004</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吉林龙山湖国家级森林公园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2国家级森林公园执行《国家级自然公园管理办法（试行）》相关要求。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ZH22060210005</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吉林五间房省级森林公园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ZH22060210006</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吉林五间房省级森林公园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原则上按限制开发区域的要求进行管理。避免开发建设活动损害生态服务功能和生态产品质量。</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ZH22060210007</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吉林老梁山省级森林公园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ZH22060210008</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吉林白山市青山湖风景名胜区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2风景名胜区执行《风景名胜区条例》相关要求。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ZH22060210009</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吉林白山市长白山迷宫风景名胜区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2风景名胜区执行《风景名胜区条例》相关要求。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ZH22060210010</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吉林白山珠宝河国家湿地公园</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3饮用水水源保护区执行《中华人民共和国水污染防治法》《饮用水水源保护区污染防治管理规定》《吉林省城镇饮用水水源保护条例》相关要求。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湿地公园、饮用水水源保护区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ZH22060210011</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白山市曲家营水库生活饮用水水源保护区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ZH22060210012</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白山市曲家营水库生活饮用水水源保护区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ZH22060210013</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浑江区水源涵养功能重要区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ZH22060210014</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浑江区鸭绿江生物多样性维护功能生态保护红线</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ZH22060210015</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浑江区生物多样性维护功能生态保护红线</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ZH22060210016</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浑江区生物多样性重要区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ZH22060210017</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浑江区水土保持功能重要区</w:t>
            </w:r>
          </w:p>
        </w:tc>
        <w:tc>
          <w:tcPr>
            <w:tcW w:w="370" w:type="pct"/>
            <w:shd w:val="clear" w:color="auto" w:fill="auto"/>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ZH22060210018</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浑江区水土流失敏感区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ZH22060210019</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浑江区其他生态功能生态保护红线</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70" w:type="pc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其他生态功能、饮用水水源保护区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ZH22060220001</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吉林浑江经济开发区</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1严格控制高耗水、高污染行业发展。</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70" w:type="pct"/>
            <w:vMerge w:val="restart"/>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大气环境高排放重点管控区、水环境工业污染重点管控区、建设用地污染风险重点管控区、白山板庙子金矿重点矿区、高污染燃料禁燃区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医药化工为主兼具精细化工及化工新材料的化工产业</w:t>
            </w:r>
            <w:r>
              <w:rPr>
                <w:rFonts w:hint="eastAsia" w:ascii="Times New Roman" w:hAnsi="Times New Roman" w:eastAsia="仿宋" w:cs="Times New Roman"/>
                <w:bCs/>
                <w:kern w:val="0"/>
                <w:sz w:val="20"/>
                <w:szCs w:val="20"/>
              </w:rPr>
              <w:t>、</w:t>
            </w:r>
            <w:r>
              <w:rPr>
                <w:rFonts w:ascii="Times New Roman" w:hAnsi="Times New Roman" w:eastAsia="仿宋" w:cs="Times New Roman"/>
                <w:bCs/>
                <w:kern w:val="0"/>
                <w:sz w:val="20"/>
                <w:szCs w:val="20"/>
              </w:rPr>
              <w:t>高性能镁合金及其制品、煤矸石、煤泥、洗中煤等低热值燃料综合利用、新型墙体和屋面材料、绝热隔音材料、建筑防水和密封等材料的开发与生产、废矿石、尾矿和建筑废弃物的综合利用、主导产业链“三废”综合利用及治理工程</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42"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70"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42"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70" w:type="pct"/>
            <w:vMerge w:val="continue"/>
            <w:vAlign w:val="center"/>
          </w:tcPr>
          <w:p>
            <w:pPr>
              <w:widowControl/>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4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禁燃区内禁止燃用的高污染燃料按照《高污染燃料目录》中的第Ⅱ类执行；禁止销售、使用、转运、存放高污染燃料；禁止新建、扩建燃用高污染燃料的锅炉、炉窑、炉灶等燃烧设施（集中供热锅炉除外）；禁燃区内现有使用高污染燃料的锅炉、炉窑、炉灶等燃烧设施（集中供热锅炉除外）应当在规定期限前改用天然气、液化石油气、电或者其他清洁能源。</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2积极推进区内供热（汽）管网建设，尽快实现开发区集中供热。在实现开发区集中供热之前，应采用电加热或清洁能源作为过渡热源。园区新建供热设施须执行排放浓度限值。</w:t>
            </w:r>
            <w:r>
              <w:rPr>
                <w:rFonts w:ascii="Times New Roman" w:hAnsi="Times New Roman" w:eastAsia="仿宋" w:cs="Times New Roman"/>
                <w:sz w:val="20"/>
                <w:szCs w:val="20"/>
              </w:rPr>
              <w:tab/>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3完成吉林省下达的产能置换要求。各产业执行对应的清洁生产标准。</w:t>
            </w:r>
          </w:p>
        </w:tc>
        <w:tc>
          <w:tcPr>
            <w:tcW w:w="97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ZH22060220002</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浑江区城镇开发边界</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42"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4推进城市建成区内现有钢铁、建材、有色金属、造纸、印染、原料药制造、化工等污染较重的企业有序搬迁改造或依法关闭。</w:t>
            </w:r>
          </w:p>
        </w:tc>
        <w:tc>
          <w:tcPr>
            <w:tcW w:w="97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大气环境受体敏感重点管控区、水环境城镇生活污染重点管控区、建设用地污染风险重点管控区、白山板石沟铁矿重点矿区、白山板庙子金矿重点矿区、白山黑沟白云岩矿重点矿区、高污染燃料禁燃区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70"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42"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止销售、使用、转运、存放高污染燃料；禁止新建、扩建燃用高污染燃料的锅炉、炉窑、炉灶等燃烧设施（集中供热锅炉除外）；禁燃区内现有使用高污染燃料的锅炉、炉窑、炉灶等燃烧设施（集中供热锅炉除外）应当在规定期限前改用天然气、液化石油气、电或者其他清洁能源。</w:t>
            </w:r>
          </w:p>
        </w:tc>
        <w:tc>
          <w:tcPr>
            <w:tcW w:w="970"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ZH22060220003</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浑江区大气环境高排放重点管控区</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70" w:type="pct"/>
            <w:vMerge w:val="restar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大气环境高排放重点管控区、建设用地污染风险重点管控区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基于“三线”研究成果提出，《污染地块土壤环境管理办法（试行）》《工矿用地土壤环境管理办法（试行）》《吉林省生态环境保护“十四五”规划》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42"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0"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42"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1"/>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3土壤环境污染重点监管企业、危化品仓储企业落实《工矿用地土壤环境管理办法（试行）》要求，实施项目环评、设计建设、拆除设施、终止经营全生命周期土壤和地下水污染防治。</w:t>
            </w:r>
          </w:p>
        </w:tc>
        <w:tc>
          <w:tcPr>
            <w:tcW w:w="970"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ZH22060220004</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浑江区大气环境布局敏感重点管控区</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70" w:type="pct"/>
            <w:vMerge w:val="restar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大气环境布局敏感重点管控区、建设用地污染风险重点管控区、白山黑沟白云岩矿重点矿区、白山板庙子金矿重点矿区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基于“三线”研究成果提出，《中共中央 国务院关于深入打好污染防治攻坚战的意见》《污染地块土壤环境管理办法（试行）》《工矿用地土壤环境管理办法（试行）》《吉林省矿产资源总体规划（2021-2025年）》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42"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70" w:type="pct"/>
            <w:vMerge w:val="continue"/>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42"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1"/>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3土壤环境污染重点监管企业、危化品仓储企业落实《工矿用地土壤环境管理办法（试行）》要求，实施项目环评、设计建设、拆除设施、终止经营全生命周期土壤和地下水污染防治。</w:t>
            </w:r>
          </w:p>
        </w:tc>
        <w:tc>
          <w:tcPr>
            <w:tcW w:w="970"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ZH22060220005</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浑江区大气环境弱扩散重点管控区</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70" w:type="pct"/>
            <w:vMerge w:val="restar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大气环境弱扩散重点管控区、建设用地污染风险重点管控区、白山板石沟铁矿重点矿区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基于“三线”研究成果提出，《中共中央 国务院关于深入打好污染防治攻坚战的意见》《污染地块土壤环境管理办法（试行）》《工矿用地土壤环境管理办法（试行）》《吉林省矿产资源总体规划（2021-2025年）》。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42"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70" w:type="pct"/>
            <w:vMerge w:val="continue"/>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42"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1"/>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3土壤环境污染重点监管企业、危化品仓储企业落实《工矿用地土壤环境管理办法（试行）》要求，实施项目环评、设计建设、拆除设施、终止经营全生命周期土壤和地下水污染防治。</w:t>
            </w:r>
          </w:p>
        </w:tc>
        <w:tc>
          <w:tcPr>
            <w:tcW w:w="970"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ZH22060220006</w:t>
            </w:r>
          </w:p>
        </w:tc>
        <w:tc>
          <w:tcPr>
            <w:tcW w:w="59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浑江区建设用地污染风险重点管控区</w:t>
            </w:r>
          </w:p>
        </w:tc>
        <w:tc>
          <w:tcPr>
            <w:tcW w:w="370"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70" w:type="pct"/>
            <w:vMerge w:val="restar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建设用地污染风险重点管控区、白山板石沟铁矿重点矿区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《中共中央 国务院关于深入打好污染防治攻坚战的意见》《污染地块土壤环境管理办法（试行）》《工矿用地土壤环境管理办法（试行）》《吉林省土壤环境质量巩固提升行动方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70"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9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4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0"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ZH22060220007</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白山板石沟铁矿重点矿区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42"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7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白山板石沟铁矿重点矿区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ZH22060230001</w:t>
            </w:r>
          </w:p>
        </w:tc>
        <w:tc>
          <w:tcPr>
            <w:tcW w:w="59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浑江区一般管控区</w:t>
            </w:r>
          </w:p>
        </w:tc>
        <w:tc>
          <w:tcPr>
            <w:tcW w:w="370"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39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4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14" w:name="_Toc17986"/>
      <w:r>
        <w:rPr>
          <w:rFonts w:ascii="Times New Roman" w:hAnsi="Times New Roman" w:eastAsia="仿宋" w:cs="Times New Roman"/>
          <w:b/>
          <w:bCs/>
          <w:sz w:val="32"/>
          <w:szCs w:val="32"/>
        </w:rPr>
        <w:t>（三十七） 白山市江源区生态环境准入清单</w:t>
      </w:r>
      <w:bookmarkEnd w:id="114"/>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表4-37-1 白山市江源区区域特征研判</w:t>
      </w:r>
    </w:p>
    <w:tbl>
      <w:tblPr>
        <w:tblStyle w:val="19"/>
        <w:tblW w:w="5000" w:type="pct"/>
        <w:tblInd w:w="0" w:type="dxa"/>
        <w:tblLayout w:type="autofit"/>
        <w:tblCellMar>
          <w:top w:w="0" w:type="dxa"/>
          <w:left w:w="108" w:type="dxa"/>
          <w:bottom w:w="0" w:type="dxa"/>
          <w:right w:w="108" w:type="dxa"/>
        </w:tblCellMar>
      </w:tblPr>
      <w:tblGrid>
        <w:gridCol w:w="4756"/>
        <w:gridCol w:w="6842"/>
        <w:gridCol w:w="4734"/>
        <w:gridCol w:w="4815"/>
      </w:tblGrid>
      <w:tr>
        <w:tblPrEx>
          <w:tblCellMar>
            <w:top w:w="0" w:type="dxa"/>
            <w:left w:w="108" w:type="dxa"/>
            <w:bottom w:w="0" w:type="dxa"/>
            <w:right w:w="108" w:type="dxa"/>
          </w:tblCellMar>
        </w:tblPrEx>
        <w:trPr>
          <w:trHeight w:val="186"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1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250"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位于吉林省东南部，白山市西部，东与抚松县为邻，西北与柳河县交界，西南与浑江区相连，南与临江市毗连，北与靖宇县接壤，总面积1348平方公里，下辖6个镇、4个街道。</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1.加强以白山中心城区（浑江区、江源区）为依托的主核一体化区域和以松江河为依托的抚松新城副核一体化区域对市域发展的带动作用，形成区域经济发展、产业转型和人口承载力强的重要支撑区域。</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加快推进以长白山特色生物资源开发利用为主的人参生命科技园区、石人绿色食品聚集区建设，引入和开工一批绿色食品、特色药项目。</w:t>
            </w:r>
          </w:p>
          <w:p>
            <w:pPr>
              <w:rPr>
                <w:rFonts w:ascii="Times New Roman" w:hAnsi="Times New Roman" w:eastAsia="仿宋" w:cs="Times New Roman"/>
                <w:bCs/>
                <w:szCs w:val="21"/>
              </w:rPr>
            </w:pPr>
            <w:r>
              <w:rPr>
                <w:rFonts w:ascii="Times New Roman" w:hAnsi="Times New Roman" w:eastAsia="仿宋" w:cs="Times New Roman"/>
                <w:bCs/>
                <w:szCs w:val="21"/>
              </w:rPr>
              <w:t>3.推进中心城市扩容升级，强化浑江区、江源区组团发展，建设中心城区周边城镇功能空间，不断拓展中心城区发展空间，实现中心城区区域的一体化发展，以能源、矿产新材料、冶金、医药、林木加工、加工制造、服务业等为支撑，形成产业互补、交通一体、服务共享、生态共建的空间发展格局。</w:t>
            </w:r>
          </w:p>
        </w:tc>
        <w:tc>
          <w:tcPr>
            <w:tcW w:w="111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13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吉林湾沟国家森林公园；吉林江源国家森林公园；吉林三岔子国家森林公园；白山市西北岔（水库）饮用水水源保护区；江源县大阳岔河生活饮用水水源保护区；西北岔河特有鱼类国家级水产种质资源保护区等</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（1）改善区域水环境质量。</w:t>
            </w:r>
          </w:p>
        </w:tc>
      </w:tr>
    </w:tbl>
    <w:p>
      <w:pPr>
        <w:jc w:val="center"/>
        <w:rPr>
          <w:rFonts w:ascii="Times New Roman" w:hAnsi="Times New Roman" w:eastAsia="仿宋" w:cs="Times New Roman"/>
          <w:b/>
          <w:color w:val="FF0000"/>
          <w:kern w:val="0"/>
          <w:szCs w:val="21"/>
        </w:rPr>
      </w:pPr>
    </w:p>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表4-37-2 白山市江源区生态环境准入清单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348"/>
        <w:gridCol w:w="1401"/>
        <w:gridCol w:w="1949"/>
        <w:gridCol w:w="9819"/>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55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3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46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32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89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bookmarkStart w:id="115" w:name="_Hlk55422870"/>
            <w:r>
              <w:rPr>
                <w:rFonts w:ascii="Times New Roman" w:hAnsi="Times New Roman" w:eastAsia="仿宋" w:cs="Times New Roman"/>
                <w:kern w:val="0"/>
                <w:sz w:val="20"/>
                <w:szCs w:val="20"/>
              </w:rPr>
              <w:t>ZH22060510001</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吉林湾沟国家森林公园</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ZH22060510002</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吉林江源国家森林公园</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ZH22060510003</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吉林三岔子国家森林公园</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4生态保护红线内水产种质资源保护区执行《水产种质资源保护区管理办法》相关要求。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ZH22060510004</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白山市西北岔（水库）饮用水水源保护区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3</w:t>
            </w:r>
            <w:r>
              <w:rPr>
                <w:rFonts w:ascii="Times New Roman" w:hAnsi="Times New Roman" w:eastAsia="仿宋" w:cs="Times New Roman"/>
                <w:bCs/>
                <w:kern w:val="0"/>
                <w:sz w:val="20"/>
                <w:szCs w:val="20"/>
              </w:rPr>
              <w:t>水产种质资源保护区执行《水产种质资源保护区管理办法》相关要求。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ZH22060510005</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大阳岔河生活饮用水水源保护区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ZH22060510006</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西北岔河特有鱼类国家级水产种质资源保护区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水产种质资源保护区执行《水产种质资源保护区管理办法》相关要求。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ZH22060510007</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江源区松花江水源涵养与生物多样性维护功能生态保护红线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ZH22060510008</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江源区水源涵养功能生态保护红线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ZH22060510009</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江源区水源涵养功能重要区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ZH22060510010</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江源区鸭绿江生物多样性维护功能生态保护红线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生物多样性维护、饮用水水源保护区、水产种质资源保护区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ZH22060510011</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江源区生物多样性维护功能生态保护红线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ZH22060510012</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江源区生物多样性重要区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ZH22060510013</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江源区松嫩平原水土保持功能生态保护红线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水土保持、饮用水水源保护区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ZH22060510014</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江源区水土流失敏感区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ZH22060510015</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w:t>
            </w:r>
            <w:r>
              <w:rPr>
                <w:rFonts w:ascii="Times New Roman" w:hAnsi="Times New Roman" w:eastAsia="仿宋" w:cs="Times New Roman"/>
                <w:sz w:val="20"/>
                <w:szCs w:val="20"/>
              </w:rPr>
              <w:t>其他生态功能生态保护红线</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tc>
        <w:tc>
          <w:tcPr>
            <w:tcW w:w="89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其他生态功能、饮用水水源保护区、水产种质资源保护区</w:t>
            </w:r>
          </w:p>
        </w:tc>
      </w:tr>
      <w:bookmarkEnd w:id="1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ZH22060520001</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吉林江源经济开发区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1严格控制高耗水、高污染行业发展。</w:t>
            </w:r>
          </w:p>
          <w:p>
            <w:pPr>
              <w:widowControl/>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899"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大气环境高排放重点管控区、水环境工业污染重点管控区、建设用地污染风险重点管控区、江源五道羊岔铁矿重点矿区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东北瓦都</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新型材料、煤化工、木材加工、医药制造、绿色食品、高端装备、现代物流和现代服务产业</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9"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321"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899"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21" w:type="pc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r>
              <w:rPr>
                <w:rFonts w:ascii="Times New Roman" w:hAnsi="Times New Roman" w:eastAsia="仿宋" w:cs="Times New Roman"/>
                <w:sz w:val="20"/>
                <w:szCs w:val="20"/>
              </w:rPr>
              <w:tab/>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899"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ZH22060520002</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江源煤化工产业园区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tcBorders>
              <w:top w:val="single" w:color="auto" w:sz="4" w:space="0"/>
              <w:left w:val="single" w:color="auto" w:sz="4" w:space="0"/>
              <w:right w:val="single" w:color="auto" w:sz="4" w:space="0"/>
            </w:tcBorders>
            <w:shd w:val="clear" w:color="auto" w:fill="auto"/>
            <w:vAlign w:val="center"/>
          </w:tcPr>
          <w:p>
            <w:pPr>
              <w:widowControl/>
              <w:rPr>
                <w:rFonts w:ascii="Times New Roman" w:hAnsi="Times New Roman" w:eastAsia="仿宋" w:cs="Times New Roman"/>
                <w:color w:val="FF0000"/>
                <w:kern w:val="0"/>
                <w:sz w:val="20"/>
                <w:szCs w:val="20"/>
              </w:rPr>
            </w:pP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899" w:type="pct"/>
            <w:vMerge w:val="restar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321" w:type="pc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9"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321" w:type="pc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899"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21" w:type="pc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r>
              <w:rPr>
                <w:rFonts w:ascii="Times New Roman" w:hAnsi="Times New Roman" w:eastAsia="仿宋" w:cs="Times New Roman"/>
                <w:sz w:val="20"/>
                <w:szCs w:val="20"/>
              </w:rPr>
              <w:tab/>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899"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ZH22060520003</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江源区城镇开发边界</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4推进城市建成区内现有钢铁、建材、有色金属、造纸、印染、原料药制造、化工等污染较重的企业有序搬迁改造或依法关闭。</w:t>
            </w:r>
          </w:p>
        </w:tc>
        <w:tc>
          <w:tcPr>
            <w:tcW w:w="899" w:type="pct"/>
            <w:vMerge w:val="restart"/>
            <w:vAlign w:val="center"/>
          </w:tcPr>
          <w:p>
            <w:pPr>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大气环境受体敏感重点管控区、水环境城镇生活污染重点管控区、建设用地污染风险重点管控区、江源五道羊岔铁矿重点矿区、高污染燃料禁燃区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《关于开展畜禽养殖禁养区划定工作的通知》《畜禽规模养殖污染防治条例》《吉林省生态环境保护“十四五”规划》《中共中央 国务院关于深入打好污染防治攻坚战的意见》《污染地块土壤环境管理办法（试行）》《工矿用地土壤环境管理办法（试行）》《吉林省矿产资源总体规划（2021-2025年）》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32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899"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32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2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销售、使用、转运、存放高污染燃料；禁止新建、扩建燃用高污染燃料的锅炉、炉窑、炉灶等燃烧设施（集中供热锅炉除外）；.禁燃区内现有使用高污染燃料的锅炉、炉窑、炉灶等燃烧设施（集中供热锅炉除外）应当在规定期限前改用天然气、液化石油气、电或者其他清洁能源。</w:t>
            </w:r>
          </w:p>
        </w:tc>
        <w:tc>
          <w:tcPr>
            <w:tcW w:w="899"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ZH22060520004</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江源区大气环境高排放重点管控区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2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1严格控制钢铁、焦化、电解铝、铸造、水泥和平板玻璃等行业新增产能，列入去产能的钢铁企业退出时须一并退出配套的烧结、焦炉、高炉等设备。</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9"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大气环境高排放重点管控区、建设用地污染风险重点管控区、江源五道羊岔铁矿重点矿区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《中共中央 国务院关于深入打好污染防治攻坚战的意见》《污染地块土壤环境管理办法（试行）》《工矿用地土壤环境管理办法（试行）》《吉林省矿产资源总体规划（2021-2025年）》《吉林省生态环境保护“十四五”规划》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21"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99"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21"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2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完成吉林省下达的产能置换要求。</w:t>
            </w:r>
          </w:p>
        </w:tc>
        <w:tc>
          <w:tcPr>
            <w:tcW w:w="899" w:type="pct"/>
            <w:vMerge w:val="continue"/>
            <w:vAlign w:val="center"/>
          </w:tcPr>
          <w:p>
            <w:pPr>
              <w:widowControl/>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ZH22060520005</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江源区大气环境布局敏感重点管控区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899" w:type="pct"/>
            <w:vMerge w:val="restart"/>
            <w:vAlign w:val="center"/>
          </w:tcPr>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大气环境布局敏感重点管控区</w:t>
            </w:r>
          </w:p>
          <w:p>
            <w:pPr>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kern w:val="0"/>
                <w:sz w:val="20"/>
                <w:szCs w:val="21"/>
              </w:rPr>
              <w:t>污染物排放管控</w:t>
            </w:r>
          </w:p>
        </w:tc>
        <w:tc>
          <w:tcPr>
            <w:tcW w:w="232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1深入推进秸秆禁烧管控，实行秸秆全域禁烧。全面推进秸秆综合利用，建立健全秸秆全量化处置长效机制。</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tc>
        <w:tc>
          <w:tcPr>
            <w:tcW w:w="899" w:type="pct"/>
            <w:vMerge w:val="continue"/>
            <w:vAlign w:val="center"/>
          </w:tcPr>
          <w:p>
            <w:pPr>
              <w:rPr>
                <w:rFonts w:ascii="Times New Roman" w:hAnsi="Times New Roman" w:eastAsia="仿宋" w:cs="Times New Roman"/>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6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321" w:type="pct"/>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899" w:type="pct"/>
            <w:vMerge w:val="continue"/>
            <w:vAlign w:val="center"/>
          </w:tcPr>
          <w:p>
            <w:pPr>
              <w:rPr>
                <w:rFonts w:ascii="Times New Roman" w:hAnsi="Times New Roman" w:eastAsia="仿宋" w:cs="Times New Roman"/>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ZH22060520006</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江源区大气环境弱扩散重点管控区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9"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大气环境弱扩散重点管控区、建设用地污染风险重点管控区、江源五道羊岔铁矿重点矿区、白山板石沟铁矿重点矿区、高污染燃料禁燃区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《污染地块土壤环境管理办法（试行）》《工矿用地土壤环境管理办法（试行）》《吉林省矿产资源总体规划（2021-2025年）》《中共中央 国务院关于深入打好污染防治攻坚战的意见》《吉林省减污降碳协同增效实施方案》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6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32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899" w:type="pct"/>
            <w:vMerge w:val="continue"/>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环境风险防控</w:t>
            </w:r>
          </w:p>
        </w:tc>
        <w:tc>
          <w:tcPr>
            <w:tcW w:w="2321" w:type="pct"/>
            <w:tcBorders>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1"/>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color w:val="FF0000"/>
                <w:sz w:val="20"/>
                <w:szCs w:val="20"/>
              </w:rPr>
            </w:pPr>
            <w:r>
              <w:rPr>
                <w:rFonts w:ascii="Times New Roman" w:hAnsi="Times New Roman" w:eastAsia="仿宋" w:cs="Times New Roman"/>
                <w:sz w:val="20"/>
                <w:szCs w:val="21"/>
              </w:rPr>
              <w:t>3土壤环境污染重点监管企业、危化品仓储企业落实《工矿用地土壤环境管理办法（试行）》要求，实施项目环评、设计建设、拆除设施、终止经营全生命周期土壤和地下水污染防治。</w:t>
            </w:r>
          </w:p>
        </w:tc>
        <w:tc>
          <w:tcPr>
            <w:tcW w:w="899" w:type="pct"/>
            <w:vMerge w:val="continue"/>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21"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销售、使用、转运、存放高污染燃料；禁止新建、扩建燃用高污染燃料的锅炉、炉窑、炉灶等燃烧设施（集中供热锅炉除外）；.禁燃区内现有使用高污染燃料的锅炉、炉窑、炉灶等燃烧设施（集中供热锅炉除外）应当在规定期限前改用天然气、液化石油气、电或者其他清洁能源。</w:t>
            </w:r>
          </w:p>
        </w:tc>
        <w:tc>
          <w:tcPr>
            <w:tcW w:w="899" w:type="pct"/>
            <w:vMerge w:val="continue"/>
            <w:vAlign w:val="center"/>
          </w:tcPr>
          <w:p>
            <w:pPr>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ZH22060520007</w:t>
            </w:r>
          </w:p>
        </w:tc>
        <w:tc>
          <w:tcPr>
            <w:tcW w:w="55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江源区建设用地污染风险重点管控区</w:t>
            </w:r>
          </w:p>
        </w:tc>
        <w:tc>
          <w:tcPr>
            <w:tcW w:w="3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9"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建设用地污染风险重点管控区、江源五道羊岔铁矿重点矿区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61"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2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899"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6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2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9"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ZH22060520008</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江源五道羊岔铁矿重点矿区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9"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江源五道羊岔铁矿重点矿区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ZH22060520009</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白山板石沟铁矿重点矿区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6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2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9"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白山板石沟铁矿重点矿区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ZH22060530001</w:t>
            </w:r>
          </w:p>
        </w:tc>
        <w:tc>
          <w:tcPr>
            <w:tcW w:w="55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江源区一般管控区</w:t>
            </w:r>
          </w:p>
        </w:tc>
        <w:tc>
          <w:tcPr>
            <w:tcW w:w="3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46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2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89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16" w:name="_Toc1994"/>
      <w:r>
        <w:rPr>
          <w:rFonts w:ascii="Times New Roman" w:hAnsi="Times New Roman" w:eastAsia="仿宋" w:cs="Times New Roman"/>
          <w:b/>
          <w:bCs/>
          <w:sz w:val="32"/>
          <w:szCs w:val="32"/>
        </w:rPr>
        <w:t>（三十</w:t>
      </w:r>
      <w:r>
        <w:rPr>
          <w:rFonts w:hint="eastAsia" w:ascii="Times New Roman" w:hAnsi="Times New Roman" w:eastAsia="仿宋" w:cs="Times New Roman"/>
          <w:b/>
          <w:bCs/>
          <w:sz w:val="32"/>
          <w:szCs w:val="32"/>
        </w:rPr>
        <w:t>八</w:t>
      </w:r>
      <w:r>
        <w:rPr>
          <w:rFonts w:ascii="Times New Roman" w:hAnsi="Times New Roman" w:eastAsia="仿宋" w:cs="Times New Roman"/>
          <w:b/>
          <w:bCs/>
          <w:sz w:val="32"/>
          <w:szCs w:val="32"/>
        </w:rPr>
        <w:t>） 白山市抚松县生态环境准入清单</w:t>
      </w:r>
      <w:bookmarkEnd w:id="116"/>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表4-39-1 白山市抚松县区域特征研判</w:t>
      </w:r>
    </w:p>
    <w:tbl>
      <w:tblPr>
        <w:tblStyle w:val="19"/>
        <w:tblW w:w="5000" w:type="pct"/>
        <w:tblInd w:w="0" w:type="dxa"/>
        <w:tblLayout w:type="autofit"/>
        <w:tblCellMar>
          <w:top w:w="0" w:type="dxa"/>
          <w:left w:w="108" w:type="dxa"/>
          <w:bottom w:w="0" w:type="dxa"/>
          <w:right w:w="108" w:type="dxa"/>
        </w:tblCellMar>
      </w:tblPr>
      <w:tblGrid>
        <w:gridCol w:w="5895"/>
        <w:gridCol w:w="4750"/>
        <w:gridCol w:w="4606"/>
        <w:gridCol w:w="5896"/>
      </w:tblGrid>
      <w:tr>
        <w:tblPrEx>
          <w:tblCellMar>
            <w:top w:w="0" w:type="dxa"/>
            <w:left w:w="108" w:type="dxa"/>
            <w:bottom w:w="0" w:type="dxa"/>
            <w:right w:w="108" w:type="dxa"/>
          </w:tblCellMar>
        </w:tblPrEx>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12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3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416" w:hRule="atLeast"/>
        </w:trPr>
        <w:tc>
          <w:tcPr>
            <w:tcW w:w="58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位于吉林省东南部，松花江上游，长白山西北麓，北与桦甸市、敦化市以二道松花江为界，南与临江市、长白朝鲜族自治县相连，东与安图县、朝鲜民主主义人民共和国接壤，西与靖宇县隔江相望、与江源区相接，总面积6159平方千米，下辖11个镇、3个乡、3个功能区。</w:t>
            </w:r>
          </w:p>
        </w:tc>
        <w:tc>
          <w:tcPr>
            <w:tcW w:w="475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w:t>
            </w:r>
            <w:r>
              <w:rPr>
                <w:rFonts w:ascii="Times New Roman" w:hAnsi="Times New Roman" w:eastAsia="仿宋" w:cs="Times New Roman"/>
                <w:szCs w:val="24"/>
              </w:rPr>
              <w:t xml:space="preserve"> </w:t>
            </w:r>
            <w:r>
              <w:rPr>
                <w:rFonts w:ascii="Times New Roman" w:hAnsi="Times New Roman" w:eastAsia="仿宋" w:cs="Times New Roman"/>
                <w:bCs/>
                <w:szCs w:val="21"/>
              </w:rPr>
              <w:t>引导人口与产业合理积聚，建成全国最大的人参生产加工基地、长白山旅游度假服务基地、国际知名的优质矿泉水生产基地、全国最大的蓝莓生产加工基地和东部山区重要的区域性物流中心。。</w:t>
            </w:r>
          </w:p>
          <w:p>
            <w:pPr>
              <w:rPr>
                <w:rFonts w:ascii="Times New Roman" w:hAnsi="Times New Roman" w:eastAsia="仿宋" w:cs="Times New Roman"/>
                <w:bCs/>
                <w:szCs w:val="21"/>
              </w:rPr>
            </w:pPr>
            <w:r>
              <w:rPr>
                <w:rFonts w:ascii="Times New Roman" w:hAnsi="Times New Roman" w:eastAsia="仿宋" w:cs="Times New Roman"/>
                <w:bCs/>
                <w:szCs w:val="21"/>
              </w:rPr>
              <w:t>2.推进抚松利生人参精深加工生产线、太安堂长白山人参及中药产业园，长白加一人参精深加工等项目。</w:t>
            </w:r>
          </w:p>
          <w:p>
            <w:pPr>
              <w:rPr>
                <w:rFonts w:ascii="Times New Roman" w:hAnsi="Times New Roman" w:eastAsia="仿宋" w:cs="Times New Roman"/>
                <w:bCs/>
                <w:szCs w:val="21"/>
              </w:rPr>
            </w:pPr>
            <w:r>
              <w:rPr>
                <w:rFonts w:ascii="Times New Roman" w:hAnsi="Times New Roman" w:eastAsia="仿宋" w:cs="Times New Roman"/>
                <w:bCs/>
                <w:szCs w:val="21"/>
              </w:rPr>
              <w:t>3.</w:t>
            </w:r>
            <w:r>
              <w:rPr>
                <w:rFonts w:ascii="Times New Roman" w:hAnsi="Times New Roman" w:eastAsia="仿宋" w:cs="Times New Roman"/>
                <w:szCs w:val="24"/>
              </w:rPr>
              <w:t xml:space="preserve"> </w:t>
            </w:r>
            <w:r>
              <w:rPr>
                <w:rFonts w:ascii="Times New Roman" w:hAnsi="Times New Roman" w:eastAsia="仿宋" w:cs="Times New Roman"/>
                <w:bCs/>
                <w:szCs w:val="21"/>
              </w:rPr>
              <w:t>依托市中心城区、抚松新城、县城等产业载体空间发展矿产新材料、生态旅游、矿泉水、医药健康和现代服务业。</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589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松花江三湖国家级保护区；吉林抚松野山参省级自然保护区；吉林头道松花江上游省级自然保护区；吉林松江河国家森林公园；吉林湾沟国家森林公园；吉林露水河国家森林公园；吉林泉阳国家森林公园；吉林泉阳省级湿地公园；抚松县第二饮用水源地（大沙河）保护区；抚松大蒲春河水源地保护区；大黄泥河唇鱼骨国家级水产种质资源保护区；松花江头道江特有鱼类国家级水产种质资源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（1）开展饮用水水源规范化建设；加大水产种质资源保护区保护力度。</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加强矿泉水源地保护与水土流失综合治理。</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表4-39-2 白山市抚松县生态环境准入清单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331"/>
        <w:gridCol w:w="1714"/>
        <w:gridCol w:w="1667"/>
        <w:gridCol w:w="9734"/>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55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4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39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30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91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ZH22062110001</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吉林松花江三湖国家级自然保护区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2生态保护红线内自然保护区执行《中华人民共和国自然保护区条例》《吉林省松花江三湖保护区管理条例》相关要求。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6生态保护红线内</w:t>
            </w:r>
            <w:r>
              <w:rPr>
                <w:rFonts w:ascii="Times New Roman" w:hAnsi="Times New Roman" w:eastAsia="仿宋" w:cs="Times New Roman"/>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自然保护区、饮用水水源保护区、水产种质资源保护区、重要湿地、江河源头区域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ZH22062110002</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吉林长白山国家级自然保护区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生态保护红线内自然保护区执行《中华人民共和国自然保护区条例》相关要求。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ZH22062110003</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吉林抚松野山参省级自然保护区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生态保护红线内自然保护区执行《中华人民共和国自然保护区条例》相关要求。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ZH22062110004</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吉林头道松花江上游国家级自然保护区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ZH22062110005</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吉林松江河国家级森林公园</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森林公园、江河源头</w:t>
            </w:r>
            <w:r>
              <w:rPr>
                <w:rFonts w:hint="eastAsia" w:ascii="Times New Roman" w:hAnsi="Times New Roman" w:eastAsia="仿宋" w:cs="Times New Roman"/>
                <w:kern w:val="0"/>
                <w:sz w:val="20"/>
                <w:szCs w:val="20"/>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ZH22062110006</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吉林松江河国家级森林公园</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国家级森林公园执行《国家级自然公园管理办法（试行）》相关要求。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ZH22062110007</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吉林湾沟国家森林公园</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ZH22062110008</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吉林泉阳泉国家森林公园</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4生态保护红线内重要湿地执行《中华人民共和国湿地保护法》《湿地保护管理规定》《吉林省湿地保护条例》《关于特别是作为水禽栖息地的国际重要湿地公约》相关要求。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森林公园、饮用水水源保护区、重要湿地、江河源头区域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ZH22062110009</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吉林露水河国家森林公园</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ZH22062110010</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抚松县大蒲春河生活饮用水水源保护区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ZH22062110011</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抚松县大沙河饮用水水源保护区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ZH22062110012</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大黄泥河唇鱼骨国家级水产种质资源保护区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ZH22062110013</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松花江头道江特有鱼类国家级水产种质资源保护区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2水产种质资源保护区执行《水产种质资源保护区管理办法》相关要求。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ZH22062110014</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松江河水功能区一级区保护区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ZH22062110015</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松花湖水功能区一级区保护区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ZH22062110016</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抚松县鸭绿江水源涵养与生物多样性维护功能生态保护红线</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ZH22062110017</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抚松县松花江水源涵养与生物多样性维护功能生态保护红线</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ZH22062110018</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抚松县水源涵养功能生态保护红线</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w:t>
            </w:r>
            <w:r>
              <w:rPr>
                <w:rFonts w:ascii="Times New Roman" w:hAnsi="Times New Roman" w:eastAsia="仿宋" w:cs="Times New Roman"/>
                <w:kern w:val="0"/>
                <w:sz w:val="20"/>
                <w:szCs w:val="20"/>
              </w:rPr>
              <w:t>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4生态保护红线内</w:t>
            </w:r>
            <w:r>
              <w:rPr>
                <w:rFonts w:ascii="Times New Roman" w:hAnsi="Times New Roman" w:eastAsia="仿宋" w:cs="Times New Roman"/>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ZH22062110019</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抚松县水源涵养功能重要区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8江河源头区域执行《水功能区监督管理办法》相关要求。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水源涵养、防风固沙、生物多样性、水土保持、水土流失、江河源头区域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ZH22062110020</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抚松县生物多样性重要区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ZH22062110021</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抚松县水土保持功能重要区</w:t>
            </w:r>
          </w:p>
        </w:tc>
        <w:tc>
          <w:tcPr>
            <w:tcW w:w="405" w:type="pct"/>
            <w:shd w:val="clear" w:color="auto" w:fill="auto"/>
            <w:noWrap/>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94"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ZH22062110022</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抚松县水土流失敏感区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tcBorders>
              <w:top w:val="single" w:color="auto" w:sz="4" w:space="0"/>
            </w:tcBorders>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ZH22062120001</w:t>
            </w:r>
          </w:p>
        </w:tc>
        <w:tc>
          <w:tcPr>
            <w:tcW w:w="551" w:type="pct"/>
            <w:vMerge w:val="restart"/>
            <w:tcBorders>
              <w:top w:val="single" w:color="auto" w:sz="4" w:space="0"/>
            </w:tcBorders>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吉林抚松经济开发区</w:t>
            </w:r>
          </w:p>
        </w:tc>
        <w:tc>
          <w:tcPr>
            <w:tcW w:w="4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1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大气环境高排放重点管控区、水环境工业污染重点管控区、抚松-二道白河矿泉水重点矿区</w:t>
            </w:r>
          </w:p>
          <w:p>
            <w:pPr>
              <w:widowControl/>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旅游类、现代服务业、人参业为主的现代医药健康产业、林产品为主的木制品加工产业、基础设施和公共服务设施建设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《吉林省生态环境保护“十四五”规划》《企业事业单位突发环境事件应急预案备案管理办法（试行）》《中共吉林省委 吉林省人民政府关于深入打好污染防治攻坚战的实施意见》《吉林省减污降碳协同增效实施方案》《吉林省 “十四五”节能减排综合实施方案》《长白山区域矿泉水资源保护与开发利用规划（2021-2025年）》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4"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301"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30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1推广园区集中供热，园区新建供热设施须执行排放浓度限值。</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2完成吉林省下达的产能置换要求。各产业执行对应的清洁生产标准。</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ZH22062120002</w:t>
            </w:r>
          </w:p>
        </w:tc>
        <w:tc>
          <w:tcPr>
            <w:tcW w:w="55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抚松县城镇开发边界</w:t>
            </w:r>
          </w:p>
        </w:tc>
        <w:tc>
          <w:tcPr>
            <w:tcW w:w="4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301"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3除在安全或者产业布局等方面有特殊要求的项目外，应避免大规模排放水污染物的项目布局建设。</w:t>
            </w:r>
          </w:p>
        </w:tc>
        <w:tc>
          <w:tcPr>
            <w:tcW w:w="915"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大气环境受体敏感重点管控区、水环境城镇生活污染重点管控区、抚松-二道白河矿泉水重点矿区、高污染燃料禁燃区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吉林省矿产资源总体规划（2021-2025年）》《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1" w:type="pct"/>
            <w:vAlign w:val="center"/>
          </w:tcPr>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15"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新建、扩建、改建燃用高污染燃料的设施（集中供热、火电厂锅炉除外）；禁燃区内使用高污染燃料的燃煤锅炉及各类炉窑、炉灶等燃烧设施（集中供热设施除外）在规定期限内自行淘汰、予以拆除或改造，改用天然气、液化石油气、电或其他清洁能源。</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ZH22062120003</w:t>
            </w:r>
          </w:p>
        </w:tc>
        <w:tc>
          <w:tcPr>
            <w:tcW w:w="55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抚松县大气环境高排放重点管控区</w:t>
            </w:r>
          </w:p>
        </w:tc>
        <w:tc>
          <w:tcPr>
            <w:tcW w:w="4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30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钢铁、焦化、电解铝、铸造、水泥和平板玻璃等行业新增产能，列入去产能的钢铁企业退出时须一并退出配套的烧结、焦炉、高炉等设备。推进煤炭、矿石、钢材、石油、粮食、建材、焦炭等大宗货物中长途运输“公转铁”。</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抚松-二道白河矿泉水重点矿区：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15"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大气环境高排放重点管控区、抚松-二道白河矿泉水重点矿区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基于“三线”研究成果提出，结合《长白山区域矿泉水资源保护与开发利用规划（2021-2025年）》《吉林省生态环境保护“十四五”规划》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4"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301"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4"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1" w:type="pct"/>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5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4"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301"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15"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ZH22062120004</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抚松-二道白河矿泉水重点矿区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空间布局约束</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抚松-二道白河矿泉水重点矿区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ZH22062120005</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大方铁矿矿区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9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大方铁矿矿区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ZH22062130001</w:t>
            </w:r>
          </w:p>
        </w:tc>
        <w:tc>
          <w:tcPr>
            <w:tcW w:w="55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抚松县一般管控区</w:t>
            </w:r>
          </w:p>
        </w:tc>
        <w:tc>
          <w:tcPr>
            <w:tcW w:w="40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39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5"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17" w:name="_Toc13548"/>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三十九</w:t>
      </w:r>
      <w:r>
        <w:rPr>
          <w:rFonts w:ascii="Times New Roman" w:hAnsi="Times New Roman" w:eastAsia="仿宋" w:cs="Times New Roman"/>
          <w:b/>
          <w:bCs/>
          <w:sz w:val="32"/>
          <w:szCs w:val="32"/>
        </w:rPr>
        <w:t>） 白山市靖宇县生态环境准入清单</w:t>
      </w:r>
      <w:bookmarkEnd w:id="117"/>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表4-40-1 白山市靖宇县区域特征研判</w:t>
      </w:r>
    </w:p>
    <w:tbl>
      <w:tblPr>
        <w:tblStyle w:val="19"/>
        <w:tblW w:w="5000" w:type="pct"/>
        <w:tblInd w:w="0" w:type="dxa"/>
        <w:tblLayout w:type="autofit"/>
        <w:tblCellMar>
          <w:top w:w="0" w:type="dxa"/>
          <w:left w:w="108" w:type="dxa"/>
          <w:bottom w:w="0" w:type="dxa"/>
          <w:right w:w="108" w:type="dxa"/>
        </w:tblCellMar>
      </w:tblPr>
      <w:tblGrid>
        <w:gridCol w:w="4755"/>
        <w:gridCol w:w="6842"/>
        <w:gridCol w:w="4942"/>
        <w:gridCol w:w="4608"/>
      </w:tblGrid>
      <w:tr>
        <w:tblPrEx>
          <w:tblCellMar>
            <w:top w:w="0" w:type="dxa"/>
            <w:left w:w="108" w:type="dxa"/>
            <w:bottom w:w="0" w:type="dxa"/>
            <w:right w:w="108" w:type="dxa"/>
          </w:tblCellMar>
        </w:tblPrEx>
        <w:trPr>
          <w:trHeight w:val="236"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18"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位于吉林省东南部，白山市北部，长白山西麓，松花江上游左岸。东临抚松县，南接江源区，西靠辉南县，北连桦甸市。总面积3084.21平方千米，下辖7个镇、1个乡。</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 xml:space="preserve">1. 将靖宇县城（靖宇镇）建设成为以英雄城、矿泉城、北药城三大品牌的绿色旅游城市。 </w:t>
            </w:r>
          </w:p>
          <w:p>
            <w:pPr>
              <w:rPr>
                <w:rFonts w:ascii="Times New Roman" w:hAnsi="Times New Roman" w:eastAsia="仿宋" w:cs="Times New Roman"/>
                <w:bCs/>
                <w:szCs w:val="21"/>
              </w:rPr>
            </w:pPr>
            <w:r>
              <w:rPr>
                <w:rFonts w:ascii="Times New Roman" w:hAnsi="Times New Roman" w:eastAsia="仿宋" w:cs="Times New Roman"/>
                <w:bCs/>
                <w:szCs w:val="21"/>
              </w:rPr>
              <w:t>2. 提升中心城区、开发区、新城区三大载体，做好矿泉饮品、人参农特产品精深加工、矿产新材料、旅游文创及物流四大主导产业，加快推进绿色崛起。</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松花江三湖国家级保护区；吉林靖宇国家级自然保护区；吉林三岔子国家森林公园；吉林湾沟国家森林公园；白江河特有鱼类国家级水产种质资源保护区；松花湖水功能区一级区保护区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（1）加强松花江境内流域生态环境保护力度。</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表4-40-2 白山市靖宇县生态环境准入清单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217"/>
        <w:gridCol w:w="1815"/>
        <w:gridCol w:w="1747"/>
        <w:gridCol w:w="9603"/>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52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42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41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2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93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ZH22062210001</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吉林松花江三湖国家级自然保护区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2生态保护红线内自然保护区执行《中华人民共和国自然保护区条例》《吉林省松花江三湖保护区管理条例》相关要求。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3</w:t>
            </w:r>
            <w:r>
              <w:rPr>
                <w:rFonts w:ascii="Times New Roman" w:hAnsi="Times New Roman" w:eastAsia="仿宋" w:cs="Times New Roman"/>
                <w:bCs/>
                <w:kern w:val="0"/>
                <w:sz w:val="20"/>
                <w:szCs w:val="20"/>
              </w:rPr>
              <w:t>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4生态保护红线内</w:t>
            </w:r>
            <w:r>
              <w:rPr>
                <w:rFonts w:ascii="Times New Roman" w:hAnsi="Times New Roman" w:eastAsia="仿宋" w:cs="Times New Roman"/>
                <w:kern w:val="0"/>
                <w:sz w:val="20"/>
                <w:szCs w:val="20"/>
              </w:rPr>
              <w:t>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ZH22062210002</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吉林靖宇国家级自然保护区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w:t>
            </w:r>
            <w:r>
              <w:rPr>
                <w:rFonts w:ascii="Times New Roman" w:hAnsi="Times New Roman" w:eastAsia="仿宋" w:cs="Times New Roman"/>
                <w:bCs/>
                <w:kern w:val="0"/>
                <w:sz w:val="20"/>
                <w:szCs w:val="20"/>
              </w:rPr>
              <w:t>饮用水水源保护区执行《中华人民共和国水污染防治法》《饮用水水源保护区污染防治管理规定》《吉林省城镇饮用水水源保护条例》相关要求。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ZH22062210003</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吉林三岔子国家森林公园</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5生态保护红线内</w:t>
            </w:r>
            <w:r>
              <w:rPr>
                <w:rFonts w:ascii="Times New Roman" w:hAnsi="Times New Roman" w:eastAsia="仿宋" w:cs="Times New Roman"/>
                <w:kern w:val="0"/>
                <w:sz w:val="20"/>
                <w:szCs w:val="20"/>
              </w:rPr>
              <w:t>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ZH22062210004</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吉林湾沟国家森林公园</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ZH22062210005</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吉林桦甸白桦森林公园</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国家级森林公园执行《国家级自然公园管理办法（试行）》相关要求。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ZH22062210006</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白江河特有鱼类国家级水产种质资源保护区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水产种质资源保护区执行《水产种质资源保护区管理办法》相关要求。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ZH22062210007</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吉林三岔子九里半甸子湿地</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重要湿地执行《中华人民共和国湿地保护法》《湿地保护管理规定》《吉林省湿地保护条例》《关于特别是作为水禽栖息地的国际重要湿地公约》相关要求。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重要湿地、水源涵养、生物多样性、水土保持、水土流失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ZH22062210008</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松花湖水功能区一级区保护区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ZH22062210009</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靖宇县松花江水源涵养与生物多样性维护功能生态保护红线</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ZH22062210010</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靖宇县水源涵养功能生态保护红线</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ZH22062210011</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靖宇县水源涵养功能重要区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水源涵养、生物多样性、水土保持、水土流失、江河源头区域</w:t>
            </w:r>
          </w:p>
          <w:p>
            <w:pPr>
              <w:widowControl/>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ZH22062210012</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靖宇县水土保持功能生态保护红线</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ZH22062210013</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靖宇县水土保持功能重要区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sz w:val="20"/>
                <w:szCs w:val="20"/>
              </w:rPr>
              <w:t>5江河源头区域执行《水功能区监督管理办法》相关要求。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水土保持、水土流失、江河源头区域</w:t>
            </w:r>
          </w:p>
          <w:p>
            <w:pPr>
              <w:widowControl/>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ZH22062210014</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靖宇县水土流失敏感区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rPr>
                <w:rFonts w:ascii="Times New Roman" w:hAnsi="Times New Roman" w:eastAsia="仿宋" w:cs="Times New Roman"/>
                <w:kern w:val="0"/>
                <w:sz w:val="20"/>
                <w:szCs w:val="20"/>
              </w:rPr>
            </w:pPr>
            <w:r>
              <w:rPr>
                <w:rFonts w:ascii="Times New Roman" w:hAnsi="Times New Roman" w:eastAsia="仿宋" w:cs="Times New Roman"/>
                <w:sz w:val="20"/>
                <w:szCs w:val="20"/>
              </w:rPr>
              <w:t>5江河源头区域执行《水功能区监督管理办法》相关要求。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水土流失、江河源头区域</w:t>
            </w:r>
          </w:p>
          <w:p>
            <w:pPr>
              <w:widowControl/>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ZH22062210015</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靖宇县生物多样性功能重要区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ZH22062220001</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吉林白山经济开发区</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产业结构调整指导目录》中明确规定淘汰类的项目、与园区产业类型规划相违背的企业入区，禁止高污染、高能耗和耗水量大项目入区，禁止排放含重金属，难降解成分废水的项目入区；另外，不符合国家产业政策的机械加工业，粉煤灰和炉渣的资源综合开发利用项目也应禁止入区。</w:t>
            </w:r>
          </w:p>
        </w:tc>
        <w:tc>
          <w:tcPr>
            <w:tcW w:w="93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大气环境高排放重点管控区、水环境工业污染重点管控区、建设用地污染风险重点管控区、辉南-靖宇矿泉水重点矿区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山水林城、产业新都、创新白山，成为白山经济新的增长点和对外招商引资的重要平台和载体。</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生物制药、医疗器械和现代中药产业、绿色饮品、林特动植物精深加工及定制化健康食品加工产业，镁基新材料、高端硅藻土新材料、玄武岩纤维材料及智能科技产品研发制造</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园区规划环评、《企业事业单位突发环境事件应急预案备案管理办法（试行）》《污染地块土壤环境管理办法（试行）》《工矿用地土壤环境管理办法（试行）》《中共吉林省委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3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7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93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r>
              <w:rPr>
                <w:rFonts w:ascii="Times New Roman" w:hAnsi="Times New Roman" w:eastAsia="仿宋" w:cs="Times New Roman"/>
                <w:sz w:val="20"/>
                <w:szCs w:val="20"/>
              </w:rPr>
              <w:tab/>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ZH22062220002</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吉林靖宇经济开发区</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1严格控制高耗水、高污染行业发展。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2严禁排放含重金属，难降解成分废水的项目入区。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93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大气环境高排放重点管控区、水环境工业污染重点管控区、辉南-靖宇矿泉水重点矿区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打造中国矿泉水资源产业基地、中国东北特色人参及农副产品加工产业基地。</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矿泉水资源开发利用、矿泉饮品生产、包装及其他服务业、人参深加工、中药饮片、农副产品加工、包装及其他相关服务业。</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7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tc>
        <w:tc>
          <w:tcPr>
            <w:tcW w:w="93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93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ZH22062220003</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靖宇县城镇开发边界</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3除在安全或者产业布局等方面有特殊要求的项目外，应避免大规模排放水污染物的项目布局建设。</w:t>
            </w:r>
          </w:p>
        </w:tc>
        <w:tc>
          <w:tcPr>
            <w:tcW w:w="93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大气环境受体敏感重点管控区、水环境城镇生活污染重点管控区、建设用地污染风险重点管控区、辉南-靖宇矿泉水重点矿区、高污染燃料禁燃区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30"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70" w:type="pct"/>
            <w:vAlign w:val="center"/>
          </w:tcPr>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30"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销售、燃用高污染燃料；禁燃区内禁止新建、扩建燃用高污染燃料设施。已建成的燃用高污染燃料设施，应当在规定期限内改用天然气、页岩气、液化石油气、电或者其他清洁能源。</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ZH22062220004</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靖宇县大气环境高排放重点管控区</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钢铁、焦化、电解铝、铸造、水泥和平板玻璃等行业新增产能，列入去产能的钢铁企业退出时须一并退出配套的烧结、焦炉、高炉等设备。推进煤炭、矿石、钢材、石油、粮食、建材、焦炭等大宗货物中长途运输“公转铁”。</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辉南-靖宇矿泉水重点矿区：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30"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大气环境高排放重点管控区、辉南-靖宇矿泉水重点矿区、高污染燃料禁燃区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基于“三线”研究成果提出，结合《长白山区域矿泉水资源保护与开发利用规划（2021-2025年）》《吉林省生态环境保护“十四五”规划》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7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0"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70" w:type="pct"/>
            <w:vAlign w:val="center"/>
          </w:tcPr>
          <w:p>
            <w:pPr>
              <w:jc w:val="left"/>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销售、燃用高污染燃料；禁燃区内禁止新建、扩建燃用高污染燃料设施。已建成的燃用高污染燃料设施，应当在规定期限内改用天然气、页岩气、液化石油气、电或者其他清洁能源。</w:t>
            </w:r>
          </w:p>
        </w:tc>
        <w:tc>
          <w:tcPr>
            <w:tcW w:w="930"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ZH22062220005</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靖宇县建设用地污染风险重点管控区</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辉南-靖宇矿泉水重点矿区：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30"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建设用地污染风险重点管控区、辉南-靖宇矿泉水重点矿区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30"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1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7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0"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ZH22062220006</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抚松-二道白河矿泉水重点矿区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3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抚松-二道白河矿泉水重点矿区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ZH22062220007</w:t>
            </w:r>
          </w:p>
        </w:tc>
        <w:tc>
          <w:tcPr>
            <w:tcW w:w="524"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辉南-靖宇矿泉水重点矿区</w:t>
            </w:r>
          </w:p>
        </w:tc>
        <w:tc>
          <w:tcPr>
            <w:tcW w:w="429"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辉南-靖宇矿泉水重点矿区：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30"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辉南-靖宇矿泉水重点矿区、高污染燃料禁燃区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52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29"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销售、燃用高污染燃料；禁燃区内禁止新建、扩建燃用高污染燃料设施。已建成的燃用高污染燃料设施，应当在规定期限内改用天然气、页岩气、液化石油气、电或者其他清洁能源。</w:t>
            </w:r>
          </w:p>
        </w:tc>
        <w:tc>
          <w:tcPr>
            <w:tcW w:w="930" w:type="pct"/>
            <w:vMerge w:val="continue"/>
            <w:vAlign w:val="center"/>
          </w:tcPr>
          <w:p>
            <w:pPr>
              <w:widowControl/>
              <w:jc w:val="left"/>
              <w:rPr>
                <w:rFonts w:ascii="Times New Roman" w:hAnsi="Times New Roman" w:eastAsia="仿宋"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ZH2206222000</w:t>
            </w:r>
            <w:r>
              <w:rPr>
                <w:rFonts w:hint="eastAsia" w:ascii="Times New Roman" w:hAnsi="Times New Roman" w:eastAsia="仿宋" w:cs="Times New Roman"/>
                <w:kern w:val="0"/>
                <w:sz w:val="20"/>
                <w:szCs w:val="20"/>
              </w:rPr>
              <w:t>8</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靖宇县高污染燃料禁燃区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13"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禁燃区内禁止燃用的高污染燃料按照《高污染燃料目录》中的第Ⅱ类执行；禁燃区内，禁止销售、燃用高污染燃料；禁燃区内禁止新建、扩建燃用高污染燃料设施。已建成的燃用高污染燃料设施，应当在规定期限内改用天然气、页岩气、液化石油气、电或者其他清洁能源。</w:t>
            </w:r>
          </w:p>
        </w:tc>
        <w:tc>
          <w:tcPr>
            <w:tcW w:w="93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高污染燃料禁燃区</w:t>
            </w:r>
          </w:p>
          <w:p>
            <w:pPr>
              <w:widowControl/>
              <w:jc w:val="left"/>
              <w:rPr>
                <w:rFonts w:ascii="Times New Roman" w:hAnsi="Times New Roman" w:eastAsia="仿宋" w:cs="Times New Roman"/>
                <w:sz w:val="20"/>
                <w:szCs w:val="20"/>
              </w:rPr>
            </w:pPr>
            <w:r>
              <w:rPr>
                <w:rFonts w:ascii="Times New Roman" w:hAnsi="Times New Roman" w:eastAsia="仿宋" w:cs="Times New Roman"/>
                <w:b/>
                <w:bCs/>
                <w:kern w:val="0"/>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ZH22062230001</w:t>
            </w:r>
          </w:p>
        </w:tc>
        <w:tc>
          <w:tcPr>
            <w:tcW w:w="52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靖宇县一般管控区</w:t>
            </w:r>
          </w:p>
        </w:tc>
        <w:tc>
          <w:tcPr>
            <w:tcW w:w="429"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41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7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18" w:name="_Hlk27427032"/>
      <w:bookmarkStart w:id="119" w:name="_Toc3780"/>
      <w:r>
        <w:rPr>
          <w:rFonts w:ascii="Times New Roman" w:hAnsi="Times New Roman" w:eastAsia="仿宋" w:cs="Times New Roman"/>
          <w:b/>
          <w:bCs/>
          <w:sz w:val="32"/>
          <w:szCs w:val="32"/>
        </w:rPr>
        <w:t>（四十）白山市长白朝鲜族自治县</w:t>
      </w:r>
      <w:bookmarkEnd w:id="118"/>
      <w:r>
        <w:rPr>
          <w:rFonts w:ascii="Times New Roman" w:hAnsi="Times New Roman" w:eastAsia="仿宋" w:cs="Times New Roman"/>
          <w:b/>
          <w:bCs/>
          <w:sz w:val="32"/>
          <w:szCs w:val="32"/>
        </w:rPr>
        <w:t>生态环境准入清单</w:t>
      </w:r>
      <w:bookmarkEnd w:id="119"/>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 xml:space="preserve">表4-41-1 </w:t>
      </w:r>
      <w:bookmarkStart w:id="120" w:name="_Hlk27427062"/>
      <w:r>
        <w:rPr>
          <w:rFonts w:ascii="Times New Roman" w:hAnsi="Times New Roman" w:eastAsia="仿宋" w:cs="Times New Roman"/>
          <w:b/>
          <w:kern w:val="0"/>
          <w:sz w:val="24"/>
          <w:szCs w:val="24"/>
        </w:rPr>
        <w:t>白山市长白朝鲜族自治县</w:t>
      </w:r>
      <w:bookmarkEnd w:id="120"/>
      <w:r>
        <w:rPr>
          <w:rFonts w:ascii="Times New Roman" w:hAnsi="Times New Roman" w:eastAsia="仿宋" w:cs="Times New Roman"/>
          <w:b/>
          <w:kern w:val="0"/>
          <w:sz w:val="24"/>
          <w:szCs w:val="24"/>
        </w:rPr>
        <w:t>区域特征研判</w:t>
      </w:r>
    </w:p>
    <w:tbl>
      <w:tblPr>
        <w:tblStyle w:val="19"/>
        <w:tblW w:w="5000" w:type="pct"/>
        <w:tblInd w:w="0" w:type="dxa"/>
        <w:tblLayout w:type="autofit"/>
        <w:tblCellMar>
          <w:top w:w="0" w:type="dxa"/>
          <w:left w:w="108" w:type="dxa"/>
          <w:bottom w:w="0" w:type="dxa"/>
          <w:right w:w="108" w:type="dxa"/>
        </w:tblCellMar>
      </w:tblPr>
      <w:tblGrid>
        <w:gridCol w:w="6437"/>
        <w:gridCol w:w="4724"/>
        <w:gridCol w:w="4153"/>
        <w:gridCol w:w="5833"/>
      </w:tblGrid>
      <w:tr>
        <w:tblPrEx>
          <w:tblCellMar>
            <w:top w:w="0" w:type="dxa"/>
            <w:left w:w="108" w:type="dxa"/>
            <w:bottom w:w="0" w:type="dxa"/>
            <w:right w:w="108" w:type="dxa"/>
          </w:tblCellMar>
        </w:tblPrEx>
        <w:trPr>
          <w:trHeight w:val="241" w:hRule="atLeast"/>
        </w:trPr>
        <w:tc>
          <w:tcPr>
            <w:tcW w:w="15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24" w:hRule="atLeast"/>
        </w:trPr>
        <w:tc>
          <w:tcPr>
            <w:tcW w:w="152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2.吉林省省级全域旅游示范区。</w:t>
            </w:r>
          </w:p>
          <w:p>
            <w:pPr>
              <w:rPr>
                <w:rFonts w:ascii="Times New Roman" w:hAnsi="Times New Roman" w:eastAsia="仿宋" w:cs="Times New Roman"/>
                <w:bCs/>
                <w:szCs w:val="21"/>
              </w:rPr>
            </w:pPr>
            <w:r>
              <w:rPr>
                <w:rFonts w:ascii="Times New Roman" w:hAnsi="Times New Roman" w:eastAsia="仿宋" w:cs="Times New Roman"/>
                <w:bCs/>
                <w:szCs w:val="21"/>
              </w:rPr>
              <w:t>3.位于长白山森林生态功能区，属于国家级水源涵养型重点生态功能区。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4. 位于吉林省东南部，长白山南麓，鸭绿江上游右岸。西和西北以鸭绿江与七道沟河为界，与临江市接壤；北与临江市、抚松县交界，与抚松县毗邻；东南自中朝两国3号分界桩南侧，沿鸭绿江南行至长白镇转西行至七道沟河口右岸与临江市交界；隔鸭绿江与朝鲜民主主义人民共和国两江道的一市五郡相对，总面积2504.53平方公里，下辖7个镇和1个乡。</w:t>
            </w:r>
          </w:p>
        </w:tc>
        <w:tc>
          <w:tcPr>
            <w:tcW w:w="11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将长白县城（长白镇）发展成为以边境旅游与休闲度假、新材料、生物医药、口岸边贸等为主导的县域中心生态城市。</w:t>
            </w:r>
          </w:p>
        </w:tc>
        <w:tc>
          <w:tcPr>
            <w:tcW w:w="98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37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鸭绿江上游国家级自然保护区；吉林长白鸭绿江源湿地省级自然保护区；吉林长白泥粒河国家湿地公园；二十三道沟河生活饮用水水源保护区；国家级公益林等</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w:t>
            </w:r>
            <w:r>
              <w:rPr>
                <w:rFonts w:hint="eastAsia" w:ascii="Times New Roman" w:hAnsi="Times New Roman" w:eastAsia="仿宋" w:cs="Times New Roman"/>
                <w:bCs/>
                <w:szCs w:val="21"/>
              </w:rPr>
              <w:t>改善区域水环境</w:t>
            </w:r>
            <w:r>
              <w:rPr>
                <w:rFonts w:ascii="Times New Roman" w:hAnsi="Times New Roman" w:eastAsia="仿宋" w:cs="Times New Roman"/>
                <w:bCs/>
                <w:szCs w:val="21"/>
              </w:rPr>
              <w:t>。</w:t>
            </w:r>
          </w:p>
          <w:p>
            <w:pPr>
              <w:rPr>
                <w:rFonts w:ascii="Times New Roman" w:hAnsi="Times New Roman" w:eastAsia="仿宋" w:cs="Times New Roman"/>
                <w:bCs/>
                <w:szCs w:val="21"/>
              </w:rPr>
            </w:pPr>
            <w:r>
              <w:rPr>
                <w:rFonts w:ascii="Times New Roman" w:hAnsi="Times New Roman" w:eastAsia="仿宋" w:cs="Times New Roman"/>
                <w:bCs/>
                <w:szCs w:val="21"/>
              </w:rPr>
              <w:t>（2）开展饮用水水源规范化建设，依法清理饮用水水源保护区内违法建筑和排污口。</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表4-41-2 白山市长白朝鲜族自治县生态环境准入清单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85"/>
        <w:gridCol w:w="1684"/>
        <w:gridCol w:w="1899"/>
        <w:gridCol w:w="9100"/>
        <w:gridCol w:w="4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61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398"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44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9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ZH22062310001</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吉林长白山国家级自然保护区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ZH22062310002</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吉林鸭绿江上游国家级自然保护区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ZH22062310003</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吉林长白鸭绿江源湿地省级自然保护区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3生态保护红线内自然保护区执行《中华人民共和国自然保护区条例》相关要求。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自然保护区、饮用水水源保护区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ZH22062310004</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吉林长白国家森林公园</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w:t>
            </w:r>
            <w:r>
              <w:rPr>
                <w:rFonts w:ascii="Times New Roman" w:hAnsi="Times New Roman" w:eastAsia="仿宋" w:cs="Times New Roman"/>
                <w:bCs/>
                <w:kern w:val="0"/>
                <w:sz w:val="20"/>
                <w:szCs w:val="20"/>
              </w:rPr>
              <w:t>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ZH22062310005</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吉林长白泥粒河国家湿地公园</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ZH22062310006</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吉林长白间山峰省级湿地公园</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ZH22062310007</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长白朝鲜族自治县二十三道沟河生活饮用水水源保护区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ZH22062310008</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长白县国家级公益林</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2国家级公益林</w:t>
            </w:r>
            <w:r>
              <w:rPr>
                <w:rFonts w:ascii="Times New Roman" w:hAnsi="Times New Roman" w:eastAsia="仿宋" w:cs="Times New Roman"/>
                <w:bCs/>
                <w:kern w:val="0"/>
                <w:sz w:val="20"/>
                <w:szCs w:val="20"/>
              </w:rPr>
              <w:t>执行</w:t>
            </w:r>
            <w:r>
              <w:rPr>
                <w:rFonts w:hint="eastAsia" w:ascii="Times New Roman" w:hAnsi="Times New Roman" w:eastAsia="仿宋" w:cs="Times New Roman"/>
                <w:bCs/>
                <w:kern w:val="0"/>
                <w:sz w:val="20"/>
                <w:szCs w:val="20"/>
              </w:rPr>
              <w:t>《国家级公益林管理办法》（2017年修订）</w:t>
            </w:r>
            <w:r>
              <w:rPr>
                <w:rFonts w:ascii="Times New Roman" w:hAnsi="Times New Roman" w:eastAsia="仿宋" w:cs="Times New Roman"/>
                <w:bCs/>
                <w:kern w:val="0"/>
                <w:sz w:val="20"/>
                <w:szCs w:val="20"/>
              </w:rPr>
              <w:t>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ZH22062310009</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长白县鸭绿江水源涵养与生物多样性维护功能生态保护红线</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ZH22062310010</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长白县水源涵养功能生态保护红线</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ZH22062310011</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长白县水源涵养功能重要区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水源涵养、防风固沙、生物多样性、水土保持、水土流失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ZH22062310012</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长白县生物多样性重要区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ZH22062310013</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长白县水土流失敏感区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58"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ZH22062320001</w:t>
            </w:r>
          </w:p>
        </w:tc>
        <w:tc>
          <w:tcPr>
            <w:tcW w:w="61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吉林长白边境经济合作区</w:t>
            </w:r>
          </w:p>
        </w:tc>
        <w:tc>
          <w:tcPr>
            <w:tcW w:w="398"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jc w:val="left"/>
              <w:rPr>
                <w:rFonts w:ascii="Times New Roman" w:hAnsi="Times New Roman" w:eastAsia="仿宋" w:cs="Times New Roman"/>
                <w:sz w:val="16"/>
                <w:szCs w:val="16"/>
              </w:rPr>
            </w:pPr>
            <w:r>
              <w:rPr>
                <w:rFonts w:ascii="Times New Roman" w:hAnsi="Times New Roman" w:eastAsia="仿宋" w:cs="Times New Roman"/>
                <w:kern w:val="0"/>
                <w:sz w:val="20"/>
                <w:szCs w:val="20"/>
              </w:rPr>
              <w:t>1</w:t>
            </w:r>
            <w:r>
              <w:rPr>
                <w:rFonts w:ascii="Times New Roman" w:hAnsi="Times New Roman" w:eastAsia="仿宋" w:cs="Times New Roman"/>
                <w:sz w:val="20"/>
                <w:szCs w:val="20"/>
              </w:rPr>
              <w:t>严格控制高耗水、高污染行业发展。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2禁止限制类及淘汰类、污染重、大气污染物排放量大的企业入区。</w:t>
            </w:r>
          </w:p>
        </w:tc>
        <w:tc>
          <w:tcPr>
            <w:tcW w:w="958"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大气环境高排放重点管控区、水环境工业污染重点管控区、高污染燃料禁燃区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中朝贸易货物集散地，是长白山资源开发的理想地</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重点发展生态文化旅游业、对外贸易物流业与特色资源加工业三大主导产业，培育大健康产业、现代服务业两类战略性新兴产业</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58"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开发区应制定环境风险应急预案，成立应急组织机构，定期开展应急演练，提高区域环境风险防范能力。</w:t>
            </w:r>
          </w:p>
        </w:tc>
        <w:tc>
          <w:tcPr>
            <w:tcW w:w="958"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52"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禁燃区内禁止燃用的高污染燃料按照《高污染燃料目录》中的第Ⅱ类执行；禁燃区内禁止新建、扩建燃用高污染燃料的锅炉、炉窑、炉灶等燃烧设施（集中供热锅炉除外）；禁燃区内的单位和个体经营者，应当按照下列要求停止使用高污染燃料。在集中供热管网覆盖范围内的，应当改用集中供热；未在集中供热管网覆盖范围内的，应当改用电、液化石油气或者其他清洁能源，淘汰使用高污染燃料的锅炉、炉窑、炉灶等燃烧设施。</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积极推进区内供热（汽）管网建设，尽快实现开发区集中供热。在实现开发区集中供热之前，应采用电加热或清洁能源作为过渡热源。园区新建供热设施须执行排放浓度限值。3完成吉林省下达的产能置换要求。各产业执行对应的清洁生产标准。</w:t>
            </w:r>
          </w:p>
        </w:tc>
        <w:tc>
          <w:tcPr>
            <w:tcW w:w="958"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ZH22062320002</w:t>
            </w:r>
          </w:p>
        </w:tc>
        <w:tc>
          <w:tcPr>
            <w:tcW w:w="61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长白县城镇开发边界</w:t>
            </w:r>
          </w:p>
        </w:tc>
        <w:tc>
          <w:tcPr>
            <w:tcW w:w="398"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52"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958"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大气环境受体敏感重点管控区、水环境城镇生活污染重点管控区、临江-长白硅藻土矿重点矿区、高污染燃料禁燃区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52"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58"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52" w:type="pct"/>
            <w:vAlign w:val="center"/>
          </w:tcPr>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58"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禁燃区内禁止燃用的高污染燃料按照《高污染燃料目录》中的第Ⅱ类执行；禁燃区内禁止新建、扩建燃用高污染燃料的锅炉、炉窑、炉灶等燃烧设施（集中供热锅炉除外）；禁燃区内的单位和个体经营者，应当按照下列要求停止使用高污染燃料。在集中供热管网覆盖范围内的，应当改用集中供热；未在集中供热管网覆盖范围内的，应当改用电、液化石油气或者其他清洁能源，淘汰使用高污染燃料的锅炉、炉窑、炉灶等燃烧设施。</w:t>
            </w:r>
          </w:p>
        </w:tc>
        <w:tc>
          <w:tcPr>
            <w:tcW w:w="958"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ZH22062320003</w:t>
            </w:r>
          </w:p>
        </w:tc>
        <w:tc>
          <w:tcPr>
            <w:tcW w:w="61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长白县大气环境弱扩散重点管控区</w:t>
            </w:r>
          </w:p>
        </w:tc>
        <w:tc>
          <w:tcPr>
            <w:tcW w:w="398"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4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52"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58"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大气环境弱扩散重点管控区、建设用地污染风险重点管控区、临江-长白硅藻土矿重点矿区、高污染燃料禁燃区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49"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tc>
        <w:tc>
          <w:tcPr>
            <w:tcW w:w="958"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4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52"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8" w:type="pct"/>
            <w:vMerge w:val="continue"/>
            <w:tcBorders>
              <w:left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1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98"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4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禁燃区内禁止燃用的高污染燃料按照《高污染燃料目录》中的第Ⅱ类执行；禁燃区内禁止新建、扩建燃用高污染燃料的锅炉、炉窑、炉灶等燃烧设施（集中供热锅炉除外）；禁燃区内的单位和个体经营者，应当按照下列要求停止使用高污染燃料。在集中供热管网覆盖范围内的，应当改用集中供热；未在集中供热管网覆盖范围内的，应当改用电、液化石油气或者其他清洁能源，淘汰使用高污染燃料的锅炉、炉窑、炉灶等燃烧设施。</w:t>
            </w:r>
          </w:p>
        </w:tc>
        <w:tc>
          <w:tcPr>
            <w:tcW w:w="958"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ZH22062320004</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临江-长白硅藻土矿重点矿区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52" w:type="pc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58" w:type="pc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临江-长白硅藻土重点矿区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 xml:space="preserve"> 《吉林省矿产资源总体规划（2021-2025年）》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ZH22062330001</w:t>
            </w:r>
          </w:p>
        </w:tc>
        <w:tc>
          <w:tcPr>
            <w:tcW w:w="61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长白县一般管控区</w:t>
            </w:r>
          </w:p>
        </w:tc>
        <w:tc>
          <w:tcPr>
            <w:tcW w:w="398"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44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52"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8"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21" w:name="_Toc31279"/>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四十一</w:t>
      </w:r>
      <w:r>
        <w:rPr>
          <w:rFonts w:ascii="Times New Roman" w:hAnsi="Times New Roman" w:eastAsia="仿宋" w:cs="Times New Roman"/>
          <w:b/>
          <w:bCs/>
          <w:sz w:val="32"/>
          <w:szCs w:val="32"/>
        </w:rPr>
        <w:t>） 白山市临江市生态环境准入清单</w:t>
      </w:r>
      <w:bookmarkEnd w:id="121"/>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表4-38-1 白山市临江市区域特征研判</w:t>
      </w:r>
    </w:p>
    <w:tbl>
      <w:tblPr>
        <w:tblStyle w:val="19"/>
        <w:tblW w:w="5000" w:type="pct"/>
        <w:tblInd w:w="0" w:type="dxa"/>
        <w:tblLayout w:type="autofit"/>
        <w:tblCellMar>
          <w:top w:w="0" w:type="dxa"/>
          <w:left w:w="108" w:type="dxa"/>
          <w:bottom w:w="0" w:type="dxa"/>
          <w:right w:w="108" w:type="dxa"/>
        </w:tblCellMar>
      </w:tblPr>
      <w:tblGrid>
        <w:gridCol w:w="4754"/>
        <w:gridCol w:w="6843"/>
        <w:gridCol w:w="4944"/>
        <w:gridCol w:w="4606"/>
      </w:tblGrid>
      <w:tr>
        <w:tblPrEx>
          <w:tblCellMar>
            <w:top w:w="0" w:type="dxa"/>
            <w:left w:w="108" w:type="dxa"/>
            <w:bottom w:w="0" w:type="dxa"/>
            <w:right w:w="108" w:type="dxa"/>
          </w:tblCellMar>
        </w:tblPrEx>
        <w:trPr>
          <w:trHeight w:val="251"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38" w:hRule="atLeast"/>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长白山腹地，鸭绿江畔，与朝鲜民主主义人民共和国两道（两江道、慈江道）三郡（中江郡、金亨稷郡、慈城郡）隔江相望，边境线长146公里，幅员3024.75平方公里，下辖6个街道、6个镇、1个乡。</w:t>
            </w: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w:t>
            </w:r>
            <w:r>
              <w:rPr>
                <w:rFonts w:ascii="Times New Roman" w:hAnsi="Times New Roman" w:eastAsia="仿宋" w:cs="Times New Roman"/>
                <w:szCs w:val="24"/>
              </w:rPr>
              <w:t xml:space="preserve"> </w:t>
            </w:r>
            <w:r>
              <w:rPr>
                <w:rFonts w:ascii="Times New Roman" w:hAnsi="Times New Roman" w:eastAsia="仿宋" w:cs="Times New Roman"/>
                <w:bCs/>
                <w:szCs w:val="21"/>
              </w:rPr>
              <w:t>将临江城区打造成为以新材料、医药、养生养老、绿色食品、商贸旅游为主的对朝口岸城市。</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加快推进临江新能源发电，</w:t>
            </w:r>
            <w:r>
              <w:rPr>
                <w:rFonts w:ascii="Times New Roman" w:hAnsi="Times New Roman" w:eastAsia="仿宋" w:cs="Times New Roman"/>
                <w:spacing w:val="-4"/>
                <w:szCs w:val="24"/>
              </w:rPr>
              <w:t>临江年产1000吨长白山人参系列产品深加工</w:t>
            </w:r>
            <w:r>
              <w:rPr>
                <w:rFonts w:ascii="Times New Roman" w:hAnsi="Times New Roman" w:eastAsia="仿宋" w:cs="Times New Roman"/>
                <w:bCs/>
                <w:szCs w:val="21"/>
              </w:rPr>
              <w:t>。</w:t>
            </w:r>
          </w:p>
          <w:p>
            <w:pPr>
              <w:rPr>
                <w:rFonts w:ascii="Times New Roman" w:hAnsi="Times New Roman" w:eastAsia="仿宋" w:cs="Times New Roman"/>
                <w:bCs/>
                <w:szCs w:val="21"/>
              </w:rPr>
            </w:pPr>
            <w:r>
              <w:rPr>
                <w:rFonts w:ascii="Times New Roman" w:hAnsi="Times New Roman" w:eastAsia="仿宋" w:cs="Times New Roman"/>
                <w:bCs/>
                <w:szCs w:val="21"/>
              </w:rPr>
              <w:t>3.</w:t>
            </w:r>
            <w:r>
              <w:rPr>
                <w:rFonts w:ascii="Times New Roman" w:hAnsi="Times New Roman" w:eastAsia="仿宋" w:cs="Times New Roman"/>
                <w:szCs w:val="24"/>
              </w:rPr>
              <w:t xml:space="preserve"> </w:t>
            </w:r>
            <w:r>
              <w:rPr>
                <w:rFonts w:ascii="Times New Roman" w:hAnsi="Times New Roman" w:eastAsia="仿宋" w:cs="Times New Roman"/>
                <w:bCs/>
                <w:szCs w:val="21"/>
              </w:rPr>
              <w:t>发挥临江、长白对外窗口作用和龙头带动作用，积极开展多层次、全方位的对外合作，打造多种形式的对外开放平台。积极创建长白、临江边境经济合作区，谋划设立互市贸易区。搭建现代电子物流网络平台，重点建设电子口岸、综合运输、仓储保税、大宗商品交易信息平台和物流管理与服务公共信息平台。</w:t>
            </w:r>
          </w:p>
          <w:p>
            <w:pPr>
              <w:rPr>
                <w:rFonts w:ascii="Times New Roman" w:hAnsi="Times New Roman" w:eastAsia="仿宋" w:cs="Times New Roman"/>
                <w:bCs/>
                <w:szCs w:val="21"/>
              </w:rPr>
            </w:pPr>
            <w:r>
              <w:rPr>
                <w:rFonts w:ascii="Times New Roman" w:hAnsi="Times New Roman" w:eastAsia="仿宋" w:cs="Times New Roman"/>
                <w:bCs/>
                <w:szCs w:val="21"/>
              </w:rPr>
              <w:t>4.</w:t>
            </w:r>
            <w:r>
              <w:rPr>
                <w:rFonts w:ascii="Times New Roman" w:hAnsi="Times New Roman" w:eastAsia="仿宋" w:cs="Times New Roman"/>
                <w:szCs w:val="24"/>
              </w:rPr>
              <w:t xml:space="preserve"> </w:t>
            </w:r>
            <w:r>
              <w:rPr>
                <w:rFonts w:ascii="Times New Roman" w:hAnsi="Times New Roman" w:eastAsia="仿宋" w:cs="Times New Roman"/>
                <w:bCs/>
                <w:szCs w:val="21"/>
              </w:rPr>
              <w:t>国家生态保护与建设示范区、长白山特色资源产业集聚区、鸭绿江经济带重要节点城市、国家历史文化名城。</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color w:val="FF0000"/>
                <w:szCs w:val="21"/>
              </w:rPr>
            </w:pPr>
            <w:r>
              <w:rPr>
                <w:rFonts w:ascii="Times New Roman" w:hAnsi="Times New Roman" w:eastAsia="仿宋" w:cs="Times New Roman"/>
                <w:szCs w:val="24"/>
                <w:shd w:val="clear" w:color="auto" w:fill="FFFFFF"/>
              </w:rPr>
              <w:t>水环境污染。</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白山原麝国家级自然保护区；吉林临江瀑布国家森林公园；吉林临江五道沟国家湿地公园；临江市清泉水库生活饮用水水源保护区；临江市青山水库生活饮用水水源保护区；鸭绿江临江段马口鱼国家级水产种质资源保护区；国家级公益林等</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（1）改善区域水环境</w:t>
            </w:r>
            <w:r>
              <w:rPr>
                <w:rFonts w:hint="eastAsia" w:ascii="Times New Roman" w:hAnsi="Times New Roman" w:eastAsia="仿宋" w:cs="Times New Roman"/>
                <w:bCs/>
                <w:szCs w:val="21"/>
              </w:rPr>
              <w:t>。</w:t>
            </w:r>
          </w:p>
          <w:p>
            <w:pPr>
              <w:rPr>
                <w:rFonts w:ascii="Times New Roman" w:hAnsi="Times New Roman" w:eastAsia="仿宋" w:cs="Times New Roman"/>
                <w:bCs/>
                <w:color w:val="FF0000"/>
                <w:szCs w:val="21"/>
              </w:rPr>
            </w:pPr>
            <w:r>
              <w:rPr>
                <w:rFonts w:hint="eastAsia" w:ascii="Times New Roman" w:hAnsi="Times New Roman" w:eastAsia="仿宋" w:cs="Times New Roman"/>
                <w:bCs/>
                <w:szCs w:val="21"/>
              </w:rPr>
              <w:t>（2）</w:t>
            </w:r>
            <w:r>
              <w:rPr>
                <w:rFonts w:ascii="Times New Roman" w:hAnsi="Times New Roman" w:eastAsia="仿宋" w:cs="Times New Roman"/>
                <w:bCs/>
                <w:szCs w:val="21"/>
              </w:rPr>
              <w:t>开展饮用水水源规范化建设；加强湿地保护与管理能力建设、水土流失治理，推动天然林封育保护。</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表4-38-2 白山市临江市生态环境准入清单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728"/>
        <w:gridCol w:w="1722"/>
        <w:gridCol w:w="1612"/>
        <w:gridCol w:w="9620"/>
        <w:gridCol w:w="3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4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64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40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38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27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85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ZH22068110001</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吉林白山原麝国家级自然保护区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自然保护区执行《中华人民共和国自然保护区条例》相关要求。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ZH22068110002</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吉林白山原麝国家级自然保护区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自然保护区执行《中华人民共和国自然保护区条例》相关要求。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ZH22068110003</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吉林临江瀑布群国家森林公园</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国家级森林公园执行《国家级自然公园管理办法（试行）》相关要求。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ZH22068110004</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吉林临江瀑布群国家森林公园</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w:t>
            </w:r>
            <w:r>
              <w:rPr>
                <w:rFonts w:ascii="Times New Roman" w:hAnsi="Times New Roman" w:eastAsia="仿宋" w:cs="Times New Roman"/>
                <w:bCs/>
                <w:kern w:val="0"/>
                <w:sz w:val="20"/>
                <w:szCs w:val="20"/>
              </w:rPr>
              <w:t>国家级森林公园执行《国家级自然公园管理办法（试行）》相关要求。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ZH22068110005</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吉林临江国家森林公园</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自然保护区执行《中华人民共和国自然保护区条例》相关要求。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3生态保护红线内</w:t>
            </w:r>
            <w:r>
              <w:rPr>
                <w:rFonts w:ascii="Times New Roman" w:hAnsi="Times New Roman" w:eastAsia="仿宋" w:cs="Times New Roman"/>
                <w:sz w:val="20"/>
                <w:szCs w:val="20"/>
              </w:rPr>
              <w:t>饮用水水源保护区执行《中华人民共和国水污染防治法》《饮用水水源保护区污染防治管理规定》《吉林省城镇饮用水水源保护条例》相关要求。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ZH22068110006</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吉林临江五道沟国家湿地公园</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w:t>
            </w:r>
            <w:r>
              <w:rPr>
                <w:rFonts w:ascii="Times New Roman" w:hAnsi="Times New Roman" w:eastAsia="仿宋" w:cs="Times New Roman"/>
                <w:bCs/>
                <w:kern w:val="0"/>
                <w:sz w:val="20"/>
                <w:szCs w:val="20"/>
              </w:rPr>
              <w:t>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r>
              <w:rPr>
                <w:rFonts w:hint="eastAsia" w:ascii="Times New Roman" w:hAnsi="Times New Roman" w:eastAsia="仿宋" w:cs="Times New Roman"/>
                <w:bCs/>
                <w:kern w:val="0"/>
                <w:sz w:val="20"/>
                <w:szCs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ZH22068110007</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临江市清泉水库生活饮用水水源保护区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18"/>
                <w:szCs w:val="18"/>
              </w:rPr>
              <w:t>2</w:t>
            </w:r>
            <w:r>
              <w:rPr>
                <w:rFonts w:ascii="Times New Roman" w:hAnsi="Times New Roman" w:eastAsia="仿宋" w:cs="Times New Roman"/>
                <w:sz w:val="20"/>
                <w:szCs w:val="20"/>
              </w:rPr>
              <w:t>饮用水水源保护区执行《中华人民共和国水污染防治法》《饮用水水源保护区污染防治管理规定》《吉林省城镇饮用水水源保护条例》相关要求。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ZH22068110008</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临江市青山水库生活饮用水水源保护区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18"/>
                <w:szCs w:val="18"/>
              </w:rPr>
              <w:t>2</w:t>
            </w:r>
            <w:r>
              <w:rPr>
                <w:rFonts w:ascii="Times New Roman" w:hAnsi="Times New Roman" w:eastAsia="仿宋" w:cs="Times New Roman"/>
                <w:sz w:val="20"/>
                <w:szCs w:val="20"/>
              </w:rPr>
              <w:t>饮用水水源保护区执行《中华人民共和国水污染防治法》《饮用水水源保护区污染防治管理规定》《吉林省城镇饮用水水源保护条例》相关要求。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ZH22068110009</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鸭绿江临江段马口鱼国家级水产种质资源保护区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ZH22068110010</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临江市国家级公益林</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2国家级公益林</w:t>
            </w:r>
            <w:r>
              <w:rPr>
                <w:rFonts w:ascii="Times New Roman" w:hAnsi="Times New Roman" w:eastAsia="仿宋" w:cs="Times New Roman"/>
                <w:sz w:val="20"/>
                <w:szCs w:val="20"/>
              </w:rPr>
              <w:t>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ZH22068110011</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临江市松花江水源涵养与生物多样性维护功能生态保护红线</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ZH22068110012</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临江市鸭绿江水源涵养与生物多样性维护功能生态保护红线</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ZH22068110013</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临江市水源涵养功能生态保护红线</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ZH22068110014</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临江市水源涵养功能重要区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3禁止导致水体污染的产业发展。</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7</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ZH22068110015</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临江市鸭绿江生物多样性维护功能生态保护红线</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ZH22068110016</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临江市生物多样性重要区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ZH22068110017</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w:t>
            </w:r>
            <w:r>
              <w:rPr>
                <w:rFonts w:ascii="Times New Roman" w:hAnsi="Times New Roman" w:eastAsia="仿宋" w:cs="Times New Roman"/>
                <w:sz w:val="20"/>
                <w:szCs w:val="20"/>
              </w:rPr>
              <w:t>其他生态功能生态保护红线</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3生态保护红线内重要湿地执行《中华人民共和国湿地保护法》《湿地保护管理规定》《吉林省湿地保护条例》《关于特别是作为水禽栖息地的国际重要湿地公约》相关要求。</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其他生态功能、饮用水水源保护区、重要湿地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ZH22068120001</w:t>
            </w:r>
          </w:p>
        </w:tc>
        <w:tc>
          <w:tcPr>
            <w:tcW w:w="64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吉林临江边境经济合作区</w:t>
            </w:r>
          </w:p>
        </w:tc>
        <w:tc>
          <w:tcPr>
            <w:tcW w:w="407"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81"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szCs w:val="20"/>
              </w:rPr>
              <w:t>空间布局约束</w:t>
            </w:r>
          </w:p>
        </w:tc>
        <w:tc>
          <w:tcPr>
            <w:tcW w:w="227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1严格控制高耗水、高污染行业发展。</w:t>
            </w:r>
          </w:p>
          <w:p>
            <w:pPr>
              <w:widowControl/>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2</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tc>
        <w:tc>
          <w:tcPr>
            <w:tcW w:w="859"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大气环境高排放重点管控区、水环境工业污染重点管控区、建设用地污染风险重点管控区、临江-长白硅藻土矿重点矿区、临江大栗子铁矿重点矿区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矿泉水、农林特产品加工、药品、保健品，绿色食品以及休闲养生、健康养老、电子产品加工、机电设备装配、轻纺工业、建材加工、硅藻土加工</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81"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4"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59"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81" w:type="pct"/>
            <w:vAlign w:val="center"/>
          </w:tcPr>
          <w:p>
            <w:pPr>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74"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1开发区应制定环境风险应急预案，成立应急组织机构，定期开展应急演练，提高区域环境风险防范能力。</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4严格落实规划环评及其批复文件制定的环境风险防范措施。</w:t>
            </w:r>
          </w:p>
        </w:tc>
        <w:tc>
          <w:tcPr>
            <w:tcW w:w="859"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r>
              <w:rPr>
                <w:rFonts w:ascii="Times New Roman" w:hAnsi="Times New Roman" w:eastAsia="仿宋" w:cs="Times New Roman"/>
                <w:sz w:val="20"/>
                <w:szCs w:val="20"/>
              </w:rPr>
              <w:tab/>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859"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ZH22068120002</w:t>
            </w:r>
          </w:p>
        </w:tc>
        <w:tc>
          <w:tcPr>
            <w:tcW w:w="64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临江市城镇开发边界</w:t>
            </w:r>
          </w:p>
        </w:tc>
        <w:tc>
          <w:tcPr>
            <w:tcW w:w="407"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81" w:type="pct"/>
            <w:vAlign w:val="center"/>
          </w:tcPr>
          <w:p>
            <w:pPr>
              <w:widowControl/>
              <w:jc w:val="left"/>
              <w:rPr>
                <w:rFonts w:ascii="Times New Roman" w:hAnsi="Times New Roman" w:eastAsia="仿宋" w:cs="Times New Roman"/>
                <w:color w:val="FF0000"/>
                <w:kern w:val="0"/>
                <w:sz w:val="20"/>
                <w:szCs w:val="20"/>
              </w:rPr>
            </w:pPr>
            <w:r>
              <w:rPr>
                <w:rFonts w:ascii="Times New Roman" w:hAnsi="Times New Roman" w:eastAsia="仿宋" w:cs="Times New Roman"/>
                <w:sz w:val="20"/>
                <w:szCs w:val="20"/>
              </w:rPr>
              <w:t>空间布局约束</w:t>
            </w:r>
          </w:p>
        </w:tc>
        <w:tc>
          <w:tcPr>
            <w:tcW w:w="2274"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4推进城市建成区内现有钢铁、建材、有色金属、造纸、印染、原料药制造、化工等污染较重的企业有序搬迁改造或依法关闭。</w:t>
            </w:r>
          </w:p>
        </w:tc>
        <w:tc>
          <w:tcPr>
            <w:tcW w:w="859" w:type="pct"/>
            <w:vMerge w:val="restart"/>
            <w:vAlign w:val="center"/>
          </w:tcPr>
          <w:p>
            <w:pP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大气环境受体敏感重点管控区、水环境城镇生活污染重点管控区、建设用地污染风险重点管控区、临江-长白硅藻土矿重点矿区、临江大栗子铁矿重点矿区、高污染燃料禁燃区</w:t>
            </w:r>
          </w:p>
          <w:p>
            <w:pPr>
              <w:widowControl/>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w:t>
            </w:r>
            <w:r>
              <w:rPr>
                <w:rFonts w:ascii="Times New Roman" w:hAnsi="Times New Roman" w:eastAsia="仿宋" w:cs="Times New Roman"/>
                <w:sz w:val="20"/>
                <w:szCs w:val="20"/>
              </w:rPr>
              <w:t>《吉林省生态环境保护“十四五”规划》《吉林省矿产资源总体规划（2021-2025年）》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74" w:type="pct"/>
            <w:vAlign w:val="center"/>
          </w:tcPr>
          <w:p>
            <w:pPr>
              <w:widowControl/>
              <w:rPr>
                <w:rFonts w:ascii="Times New Roman" w:hAnsi="Times New Roman" w:eastAsia="仿宋" w:cs="Times New Roman"/>
                <w:color w:val="FF0000"/>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859"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环境风险防控</w:t>
            </w:r>
          </w:p>
        </w:tc>
        <w:tc>
          <w:tcPr>
            <w:tcW w:w="227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59" w:type="pct"/>
            <w:vMerge w:val="continue"/>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企事业单位和其他生产经营者新建、扩建、改建继续燃用高污染燃料的燃烧设施（集中供热锅炉除外）；禁燃区内企事业单位和其他生产经营者应当按照有关规定，依法将高污染燃料燃用设施予以拆除或者改造，改用天然气、液化石油气、电，以及法规和政策文件规定的其他清洁能源或者清洁燃料。禁止在禁燃区内销售使用高污染燃料。</w:t>
            </w:r>
          </w:p>
        </w:tc>
        <w:tc>
          <w:tcPr>
            <w:tcW w:w="859" w:type="pct"/>
            <w:vMerge w:val="continue"/>
            <w:vAlign w:val="center"/>
          </w:tcPr>
          <w:p>
            <w:pPr>
              <w:widowControl/>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ZH22068120003</w:t>
            </w:r>
          </w:p>
        </w:tc>
        <w:tc>
          <w:tcPr>
            <w:tcW w:w="64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临江市大气环境高排放重点管控区</w:t>
            </w:r>
          </w:p>
        </w:tc>
        <w:tc>
          <w:tcPr>
            <w:tcW w:w="407"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8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4"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859"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大气环境高排放重点管控区、建设用地污染风险重点管控区、高污染燃料禁燃区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污染物排放管控</w:t>
            </w:r>
          </w:p>
        </w:tc>
        <w:tc>
          <w:tcPr>
            <w:tcW w:w="2274"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5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74"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1"/>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jc w:val="left"/>
              <w:rPr>
                <w:rFonts w:ascii="Times New Roman" w:hAnsi="Times New Roman" w:eastAsia="仿宋" w:cs="Times New Roman"/>
                <w:sz w:val="20"/>
                <w:szCs w:val="20"/>
              </w:rPr>
            </w:pPr>
            <w:r>
              <w:rPr>
                <w:rFonts w:ascii="Times New Roman" w:hAnsi="Times New Roman" w:eastAsia="仿宋" w:cs="Times New Roman"/>
                <w:sz w:val="20"/>
                <w:szCs w:val="21"/>
              </w:rPr>
              <w:t>3土壤环境污染重点监管企业、危化品仓储企业落实《工矿用地土壤环境管理办法（试行）》要求，实施项目环评、设计建设、拆除设施、终止经营全生命周期土壤和地下水污染防治。</w:t>
            </w:r>
          </w:p>
        </w:tc>
        <w:tc>
          <w:tcPr>
            <w:tcW w:w="85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74" w:type="pct"/>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高污染燃料目录》中的第Ⅱ类执行；禁燃区内禁止企事业单位和其他生产经营者新建、扩建、改建继续燃用高污染燃料的燃烧设施（集中供热锅炉除外）；禁燃区内企事业单位和其他生产经营者应当按照有关规定，依法将高污染燃料燃用设施予以拆除或者改造，改用天然气、液化石油气、电，以及法规和政策文件规定的其他清洁能源或者清洁燃料。禁止在禁燃区内销售使用高污染燃料。</w:t>
            </w:r>
          </w:p>
        </w:tc>
        <w:tc>
          <w:tcPr>
            <w:tcW w:w="85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ZH22068120004</w:t>
            </w:r>
          </w:p>
        </w:tc>
        <w:tc>
          <w:tcPr>
            <w:tcW w:w="64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临江市大气环境弱扩散重点管控区</w:t>
            </w:r>
          </w:p>
        </w:tc>
        <w:tc>
          <w:tcPr>
            <w:tcW w:w="407"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8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4"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59" w:type="pct"/>
            <w:vMerge w:val="restart"/>
            <w:tcBorders>
              <w:top w:val="single" w:color="auto" w:sz="4" w:space="0"/>
              <w:left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大气环境弱扩散重点管控区、建设用地污染风险重点管控区、临江大栗子铁矿重点矿区、临江-长白硅藻土矿重点矿区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7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85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645"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407" w:type="pct"/>
            <w:vMerge w:val="continue"/>
            <w:shd w:val="clear" w:color="auto" w:fill="auto"/>
            <w:noWrap/>
            <w:vAlign w:val="center"/>
          </w:tcPr>
          <w:p>
            <w:pPr>
              <w:widowControl/>
              <w:jc w:val="left"/>
              <w:rPr>
                <w:rFonts w:ascii="Times New Roman" w:hAnsi="Times New Roman" w:eastAsia="仿宋" w:cs="Times New Roman"/>
                <w:color w:val="FF0000"/>
                <w:kern w:val="0"/>
                <w:sz w:val="20"/>
                <w:szCs w:val="20"/>
              </w:rPr>
            </w:pPr>
          </w:p>
        </w:tc>
        <w:tc>
          <w:tcPr>
            <w:tcW w:w="381"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74"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w:t>
            </w:r>
            <w:r>
              <w:rPr>
                <w:rFonts w:ascii="Times New Roman" w:hAnsi="Times New Roman" w:eastAsia="仿宋" w:cs="Times New Roman"/>
                <w:sz w:val="20"/>
                <w:szCs w:val="21"/>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59" w:type="pct"/>
            <w:vMerge w:val="continue"/>
            <w:tcBorders>
              <w:left w:val="single" w:color="auto" w:sz="4" w:space="0"/>
              <w:right w:val="single" w:color="auto" w:sz="4" w:space="0"/>
            </w:tcBorders>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ZH22068120005</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临江-长白硅藻土矿重点矿区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2-重点管控</w:t>
            </w:r>
          </w:p>
        </w:tc>
        <w:tc>
          <w:tcPr>
            <w:tcW w:w="38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59"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临江-长白硅藻土矿重点矿区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ZH22068130001</w:t>
            </w:r>
          </w:p>
        </w:tc>
        <w:tc>
          <w:tcPr>
            <w:tcW w:w="645"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临江市一般管控区</w:t>
            </w:r>
          </w:p>
        </w:tc>
        <w:tc>
          <w:tcPr>
            <w:tcW w:w="407"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3-一般管控</w:t>
            </w:r>
          </w:p>
        </w:tc>
        <w:tc>
          <w:tcPr>
            <w:tcW w:w="38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7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859"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22" w:name="_Toc26167855"/>
      <w:bookmarkStart w:id="123" w:name="_Toc14090"/>
      <w:bookmarkStart w:id="124" w:name="_Toc26167876"/>
      <w:bookmarkStart w:id="125" w:name="_Toc27987245"/>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四十二</w:t>
      </w:r>
      <w:r>
        <w:rPr>
          <w:rFonts w:ascii="Times New Roman" w:hAnsi="Times New Roman" w:eastAsia="仿宋" w:cs="Times New Roman"/>
          <w:b/>
          <w:bCs/>
          <w:sz w:val="32"/>
          <w:szCs w:val="32"/>
        </w:rPr>
        <w:t>）松原市宁江区</w:t>
      </w:r>
      <w:bookmarkEnd w:id="122"/>
      <w:r>
        <w:rPr>
          <w:rFonts w:ascii="Times New Roman" w:hAnsi="Times New Roman" w:eastAsia="仿宋" w:cs="Times New Roman"/>
          <w:b/>
          <w:bCs/>
          <w:sz w:val="32"/>
          <w:szCs w:val="32"/>
        </w:rPr>
        <w:t>生态环境准入清单</w:t>
      </w:r>
      <w:bookmarkEnd w:id="123"/>
    </w:p>
    <w:p>
      <w:pPr>
        <w:jc w:val="center"/>
        <w:rPr>
          <w:rFonts w:ascii="Times New Roman" w:hAnsi="Times New Roman" w:eastAsia="仿宋" w:cs="Times New Roman"/>
          <w:b/>
          <w:kern w:val="0"/>
          <w:sz w:val="24"/>
          <w:szCs w:val="24"/>
        </w:rPr>
      </w:pPr>
      <w:bookmarkStart w:id="126" w:name="_Toc26167856"/>
      <w:r>
        <w:rPr>
          <w:rFonts w:ascii="Times New Roman" w:hAnsi="Times New Roman" w:eastAsia="仿宋" w:cs="Times New Roman"/>
          <w:b/>
          <w:kern w:val="0"/>
          <w:sz w:val="24"/>
          <w:szCs w:val="24"/>
        </w:rPr>
        <w:t>表4-50-1 松原市宁江区区域特征研判</w:t>
      </w:r>
      <w:bookmarkEnd w:id="126"/>
    </w:p>
    <w:tbl>
      <w:tblPr>
        <w:tblStyle w:val="2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124"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9"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124" w:type="pct"/>
            <w:shd w:val="clear" w:color="auto" w:fill="FFFFFF"/>
            <w:vAlign w:val="center"/>
          </w:tcPr>
          <w:p>
            <w:pPr>
              <w:rPr>
                <w:rFonts w:ascii="Times New Roman" w:hAnsi="Times New Roman" w:eastAsia="仿宋" w:cs="Times New Roman"/>
                <w:kern w:val="0"/>
                <w:szCs w:val="21"/>
              </w:rPr>
            </w:pPr>
            <w:r>
              <w:rPr>
                <w:rFonts w:ascii="Times New Roman" w:hAnsi="Times New Roman" w:eastAsia="仿宋" w:cs="Times New Roman"/>
                <w:kern w:val="0"/>
                <w:szCs w:val="20"/>
              </w:rPr>
              <w:t>1.</w:t>
            </w:r>
            <w:r>
              <w:rPr>
                <w:rFonts w:ascii="Times New Roman" w:hAnsi="Times New Roman" w:eastAsia="仿宋" w:cs="Times New Roman"/>
                <w:kern w:val="0"/>
                <w:szCs w:val="21"/>
              </w:rPr>
              <w:t>《吉林省主体功能区规划》中的国家级重点开发区域——长吉图经济区。</w:t>
            </w:r>
          </w:p>
          <w:p>
            <w:pPr>
              <w:rPr>
                <w:rFonts w:ascii="Times New Roman" w:hAnsi="Times New Roman" w:eastAsia="仿宋" w:cs="Times New Roman"/>
                <w:kern w:val="0"/>
                <w:szCs w:val="21"/>
              </w:rPr>
            </w:pPr>
            <w:r>
              <w:rPr>
                <w:rFonts w:ascii="Times New Roman" w:hAnsi="Times New Roman" w:eastAsia="仿宋" w:cs="Times New Roman"/>
                <w:kern w:val="0"/>
                <w:szCs w:val="20"/>
              </w:rPr>
              <w:t>2.位于吉林省中西部，松原市北端，面积1619平方公里，辖17个街道60个社区、5个乡镇82个行政村，总人口57万。</w:t>
            </w:r>
          </w:p>
        </w:tc>
        <w:tc>
          <w:tcPr>
            <w:tcW w:w="1618" w:type="pct"/>
            <w:shd w:val="clear" w:color="auto" w:fill="FFFFFF"/>
            <w:vAlign w:val="center"/>
          </w:tcPr>
          <w:p>
            <w:pPr>
              <w:rPr>
                <w:rFonts w:ascii="Times New Roman" w:hAnsi="Times New Roman" w:eastAsia="仿宋" w:cs="Times New Roman"/>
                <w:bCs/>
                <w:kern w:val="0"/>
                <w:szCs w:val="20"/>
              </w:rPr>
            </w:pPr>
            <w:r>
              <w:rPr>
                <w:rFonts w:ascii="Times New Roman" w:hAnsi="Times New Roman" w:eastAsia="仿宋" w:cs="Times New Roman"/>
                <w:bCs/>
                <w:kern w:val="0"/>
                <w:szCs w:val="20"/>
              </w:rPr>
              <w:t>积极构建大流通、大贸易、大开放新格局，形成与西部生态经济区经济规模、层次和功能相匹配，与新型工业化和城镇化进程相协调的辐射面广、开放度高的综合流通体系。</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积极创造条件形成与周围邻近城镇组团发展的态势，成为经济有实力、城市有魅力、发展有活力、对外有影响力的吉林省西部核心城市。</w:t>
            </w:r>
          </w:p>
        </w:tc>
        <w:tc>
          <w:tcPr>
            <w:tcW w:w="1169" w:type="pct"/>
            <w:shd w:val="clear" w:color="auto" w:fill="FFFFFF"/>
            <w:vAlign w:val="center"/>
          </w:tcPr>
          <w:p>
            <w:pPr>
              <w:rPr>
                <w:rFonts w:ascii="Times New Roman" w:hAnsi="Times New Roman" w:eastAsia="仿宋" w:cs="Times New Roman"/>
                <w:bCs/>
                <w:kern w:val="0"/>
                <w:szCs w:val="20"/>
              </w:rPr>
            </w:pPr>
            <w:r>
              <w:rPr>
                <w:rFonts w:ascii="Times New Roman" w:hAnsi="Times New Roman" w:eastAsia="仿宋" w:cs="Times New Roman"/>
                <w:bCs/>
                <w:kern w:val="0"/>
                <w:szCs w:val="20"/>
              </w:rPr>
              <w:t>土地盐碱化。</w:t>
            </w:r>
          </w:p>
        </w:tc>
        <w:tc>
          <w:tcPr>
            <w:tcW w:w="1089" w:type="pct"/>
            <w:shd w:val="clear" w:color="auto" w:fill="FFFFFF"/>
            <w:vAlign w:val="center"/>
          </w:tcPr>
          <w:p>
            <w:pPr>
              <w:numPr>
                <w:ilvl w:val="0"/>
                <w:numId w:val="2"/>
              </w:numPr>
              <w:rPr>
                <w:rFonts w:ascii="Times New Roman" w:hAnsi="Times New Roman" w:eastAsia="仿宋" w:cs="Times New Roman"/>
                <w:bCs/>
                <w:kern w:val="0"/>
                <w:szCs w:val="20"/>
              </w:rPr>
            </w:pPr>
            <w:r>
              <w:rPr>
                <w:rFonts w:ascii="Times New Roman" w:hAnsi="Times New Roman" w:eastAsia="仿宋" w:cs="Times New Roman"/>
                <w:bCs/>
                <w:kern w:val="0"/>
                <w:szCs w:val="20"/>
              </w:rPr>
              <w:t>重点保护：</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吉林松原哈达山省级湿地公园、吉林松原省级森林公园、松原松花江银鲴国家级水产种质资源保护区、松原市城区松花江饮用水水源保护区、松花江宁江段国家级水产种质资源保护区、国家级公益林、黑土地资源</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2.重点解决问题</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（1）改善区域水环境。</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（2）确保人类开发活动不挤占</w:t>
            </w:r>
            <w:r>
              <w:rPr>
                <w:rFonts w:hint="eastAsia" w:ascii="Times New Roman" w:hAnsi="Times New Roman" w:eastAsia="仿宋" w:cs="Times New Roman"/>
                <w:bCs/>
                <w:kern w:val="0"/>
                <w:szCs w:val="20"/>
              </w:rPr>
              <w:t>基本农田</w:t>
            </w:r>
            <w:r>
              <w:rPr>
                <w:rFonts w:ascii="Times New Roman" w:hAnsi="Times New Roman" w:eastAsia="仿宋" w:cs="Times New Roman"/>
                <w:bCs/>
                <w:kern w:val="0"/>
                <w:szCs w:val="20"/>
              </w:rPr>
              <w:t>。</w:t>
            </w:r>
          </w:p>
          <w:p>
            <w:pPr>
              <w:rPr>
                <w:rFonts w:ascii="Times New Roman" w:hAnsi="Times New Roman" w:eastAsia="仿宋" w:cs="Times New Roman"/>
                <w:bCs/>
                <w:kern w:val="0"/>
                <w:szCs w:val="21"/>
              </w:rPr>
            </w:pPr>
            <w:r>
              <w:rPr>
                <w:rFonts w:ascii="Times New Roman" w:hAnsi="Times New Roman" w:eastAsia="仿宋" w:cs="Times New Roman"/>
                <w:bCs/>
                <w:kern w:val="0"/>
                <w:szCs w:val="20"/>
              </w:rPr>
              <w:t>（3）</w:t>
            </w:r>
            <w:r>
              <w:rPr>
                <w:rFonts w:ascii="Times New Roman" w:hAnsi="Times New Roman" w:eastAsia="仿宋" w:cs="Times New Roman"/>
                <w:bCs/>
                <w:kern w:val="0"/>
                <w:szCs w:val="21"/>
              </w:rPr>
              <w:t>加强草原、沙地、盐碱地的修复和保护。</w:t>
            </w:r>
          </w:p>
        </w:tc>
      </w:tr>
    </w:tbl>
    <w:p>
      <w:pPr>
        <w:jc w:val="center"/>
        <w:rPr>
          <w:rFonts w:ascii="Times New Roman" w:hAnsi="Times New Roman" w:eastAsia="仿宋" w:cs="Times New Roman"/>
          <w:b/>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表4-50-2 松原市宁江区生态环境准入清单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59"/>
        <w:gridCol w:w="2196"/>
        <w:gridCol w:w="1790"/>
        <w:gridCol w:w="1769"/>
        <w:gridCol w:w="9177"/>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19"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23"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8"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69"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1005"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ZH22070210001</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吉林松原省级森林公园</w:t>
            </w:r>
          </w:p>
        </w:tc>
        <w:tc>
          <w:tcPr>
            <w:tcW w:w="423"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ZH22070210002</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吉林松原哈达山省级湿地公园</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1005"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要素分区：</w:t>
            </w:r>
            <w:r>
              <w:rPr>
                <w:rFonts w:ascii="Times New Roman" w:hAnsi="Times New Roman" w:eastAsia="仿宋" w:cs="Times New Roman"/>
                <w:sz w:val="20"/>
                <w:szCs w:val="20"/>
              </w:rPr>
              <w:t>生态保护红线、水环境优先保护区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保护对象：</w:t>
            </w:r>
            <w:r>
              <w:rPr>
                <w:rFonts w:ascii="Times New Roman" w:hAnsi="Times New Roman" w:eastAsia="仿宋" w:cs="Times New Roman"/>
                <w:sz w:val="20"/>
                <w:szCs w:val="20"/>
              </w:rPr>
              <w:t>湿地公园、饮用水水源保护地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ZH22070210003</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松原市城区松花江饮用水水源保护区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ZH22070210004</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松原市哈达山水利枢纽饮用水水源保护区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ZH22070210005</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松原松花江银鲴国家级水产种质资源保护区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ZH22070210006</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松花江宁江段国家级水产种质资源保护区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ZH22070210007</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宁江区国家级公益林</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2生态保护红线内国家级公益林执行</w:t>
            </w:r>
            <w:r>
              <w:rPr>
                <w:rFonts w:hint="eastAsia" w:ascii="Times New Roman" w:hAnsi="Times New Roman" w:eastAsia="仿宋" w:cs="Times New Roman"/>
                <w:kern w:val="0"/>
                <w:sz w:val="20"/>
                <w:szCs w:val="20"/>
              </w:rPr>
              <w:t>《国家级公益林管理办法》（2017年修订）</w:t>
            </w:r>
            <w:r>
              <w:rPr>
                <w:rFonts w:ascii="Times New Roman" w:hAnsi="Times New Roman" w:eastAsia="仿宋" w:cs="Times New Roman"/>
                <w:kern w:val="0"/>
                <w:sz w:val="20"/>
                <w:szCs w:val="20"/>
              </w:rPr>
              <w:t>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ZH22070210008</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宁江区防风固沙重要区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w:t>
            </w:r>
          </w:p>
          <w:p>
            <w:pPr>
              <w:jc w:val="left"/>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ZH220702100009</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宁江区水源涵养功能重要区</w:t>
            </w:r>
          </w:p>
        </w:tc>
        <w:tc>
          <w:tcPr>
            <w:tcW w:w="423"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2禁止各种损害生态系统水源涵养功能的经济社会活动和生产方式，如无序采矿、毁林开荒、湿地和草地开垦、过度放牧等。禁止导致水体污染的产业发展。</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Cs w:val="21"/>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ZH22070210010</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宁江区生物多样性重要区</w:t>
            </w:r>
          </w:p>
        </w:tc>
        <w:tc>
          <w:tcPr>
            <w:tcW w:w="423"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ZH22070210011</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宁江区水土保持功能生态保护红线</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ZH22070210012</w:t>
            </w:r>
          </w:p>
        </w:tc>
        <w:tc>
          <w:tcPr>
            <w:tcW w:w="5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宁江区水土流失敏感区</w:t>
            </w:r>
          </w:p>
        </w:tc>
        <w:tc>
          <w:tcPr>
            <w:tcW w:w="423"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水土流失、土地沙化</w:t>
            </w:r>
          </w:p>
          <w:p>
            <w:pPr>
              <w:jc w:val="left"/>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ZH22070220001</w:t>
            </w:r>
          </w:p>
        </w:tc>
        <w:tc>
          <w:tcPr>
            <w:tcW w:w="51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松原经济技术开发区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1禁止不符合国家现行产业政策或园区产业发展方向项目入区。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园区优先发展能耗低、用水少、污染轻、效率高的产业和项目。限制能耗、物耗相对较大或对环境有一定的污染的项目,在进区之前应当充分论证区域资源承载力条件、环境容量及给排水条件等环境方面的可行性。</w:t>
            </w:r>
          </w:p>
        </w:tc>
        <w:tc>
          <w:tcPr>
            <w:tcW w:w="1005"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农副食品加工业、化学原料和化学制品制造业、医药制造业、电力热力生产和供应业、石油和天然气开采业、开采专业及辅助性活动、装备制造业、食品制造业、废弃资源综合利用业、仓储物流、现代服务业等</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rPr>
            </w:pPr>
          </w:p>
        </w:tc>
        <w:tc>
          <w:tcPr>
            <w:tcW w:w="519" w:type="pct"/>
            <w:vMerge w:val="continue"/>
            <w:shd w:val="clear" w:color="auto" w:fill="auto"/>
            <w:vAlign w:val="center"/>
          </w:tcPr>
          <w:p>
            <w:pPr>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1严格要求园区入区项目控制污染物排放，污染物排放量较大化工项目废水中苯系物、硫化物、氰化物、挥发酚等特征污染物应控制项目各污染物的排放总量。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4一体推进重点行业大气污染深度治理与节能降碳，推动重点行业、重点领域氮氧化物减排，探索开展大气污染物与温室气体排放协同控制改造提升工程试点。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5执行《吉林省新污染物治理实施方案》相关要求，加强新污染物多环境介质协同治理，全面强化清洁生产和绿色制造。</w:t>
            </w:r>
          </w:p>
        </w:tc>
        <w:tc>
          <w:tcPr>
            <w:tcW w:w="1005" w:type="pct"/>
            <w:vMerge w:val="continue"/>
            <w:shd w:val="clear" w:color="auto" w:fill="FFFFFF"/>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Merge w:val="continue"/>
            <w:shd w:val="clear" w:color="auto" w:fill="auto"/>
            <w:vAlign w:val="center"/>
          </w:tcPr>
          <w:p>
            <w:pPr>
              <w:rPr>
                <w:rFonts w:ascii="Times New Roman" w:hAnsi="Times New Roman" w:eastAsia="仿宋" w:cs="Times New Roman"/>
                <w:sz w:val="20"/>
              </w:rPr>
            </w:pPr>
          </w:p>
        </w:tc>
        <w:tc>
          <w:tcPr>
            <w:tcW w:w="519" w:type="pct"/>
            <w:vMerge w:val="continue"/>
            <w:shd w:val="clear" w:color="auto" w:fill="auto"/>
            <w:vAlign w:val="center"/>
          </w:tcPr>
          <w:p>
            <w:pPr>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szCs w:val="20"/>
              </w:rPr>
            </w:pPr>
          </w:p>
        </w:tc>
        <w:tc>
          <w:tcPr>
            <w:tcW w:w="519" w:type="pct"/>
            <w:vMerge w:val="continue"/>
            <w:shd w:val="clear" w:color="auto" w:fill="auto"/>
            <w:vAlign w:val="center"/>
          </w:tcPr>
          <w:p>
            <w:pPr>
              <w:rPr>
                <w:rFonts w:ascii="Times New Roman" w:hAnsi="Times New Roman" w:eastAsia="仿宋" w:cs="Times New Roman"/>
                <w:sz w:val="20"/>
                <w:szCs w:val="20"/>
              </w:rPr>
            </w:pPr>
          </w:p>
        </w:tc>
        <w:tc>
          <w:tcPr>
            <w:tcW w:w="42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ZH22070220002</w:t>
            </w:r>
          </w:p>
        </w:tc>
        <w:tc>
          <w:tcPr>
            <w:tcW w:w="51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松原石油化学工业循环经济园区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园区优先发展能耗低、用水少、污染轻、效率高的产业和项目。限制能耗、物耗相对较大或对环境有一定的污染的项目,在进区之前应当充分论证区域资源承载力条件、环境容量及给排水条件等环境方面的可行性。</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2禁止对大气及水环境污染严重的项目以及不符合国家现行产业政策或园区产业发展方向项目入区。</w:t>
            </w:r>
          </w:p>
        </w:tc>
        <w:tc>
          <w:tcPr>
            <w:tcW w:w="1005" w:type="pct"/>
            <w:vMerge w:val="restar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以石油化工、氢基化工、生物化工为主导、向精细化工、新材料化工、医药化工、新能源领域进行拓展和延伸。</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石油加工、精细化工、医药化工、烯烃及深加工、煤制甲醇、耦合二氧化碳制甲醇、乙二醇、煤基可降解材料、塑料加工、车用材料、特种工程塑料、环保涂料、生物化工、仓储物流、装备配套及材料加工、绿氢生产及加工利用、绿色甲醇、合成氨、甲醇重整制氢、碳纤维生产及加工利用、大数据中心</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w:t>
            </w:r>
            <w:r>
              <w:rPr>
                <w:rFonts w:ascii="Times New Roman" w:hAnsi="Times New Roman" w:eastAsia="仿宋" w:cs="Times New Roman"/>
                <w:sz w:val="20"/>
                <w:szCs w:val="21"/>
              </w:rPr>
              <w:t>《污染地块土壤环境管理办法（试行）》《工矿用地土壤环境管理办法（试行）》</w:t>
            </w:r>
            <w:r>
              <w:rPr>
                <w:rFonts w:ascii="Times New Roman" w:hAnsi="Times New Roman" w:eastAsia="仿宋" w:cs="Times New Roman"/>
                <w:sz w:val="20"/>
                <w:szCs w:val="20"/>
              </w:rPr>
              <w:t>《吉林省“十四五”节能减排综合实施方案》</w:t>
            </w:r>
            <w:r>
              <w:rPr>
                <w:rFonts w:ascii="Times New Roman" w:hAnsi="Times New Roman" w:eastAsia="仿宋" w:cs="Times New Roman"/>
                <w:sz w:val="20"/>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szCs w:val="20"/>
              </w:rPr>
            </w:pPr>
          </w:p>
        </w:tc>
        <w:tc>
          <w:tcPr>
            <w:tcW w:w="519" w:type="pct"/>
            <w:vMerge w:val="continue"/>
            <w:shd w:val="clear" w:color="auto" w:fill="auto"/>
            <w:vAlign w:val="center"/>
          </w:tcPr>
          <w:p>
            <w:pPr>
              <w:rPr>
                <w:rFonts w:ascii="Times New Roman" w:hAnsi="Times New Roman" w:eastAsia="仿宋" w:cs="Times New Roman"/>
                <w:sz w:val="20"/>
                <w:szCs w:val="20"/>
              </w:rPr>
            </w:pPr>
          </w:p>
        </w:tc>
        <w:tc>
          <w:tcPr>
            <w:tcW w:w="42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4执行《吉林省新污染物治理实施方案》相关要求，加强新污染物多环境介质协同治理，全面强化清洁生产和绿色制造。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严格要求园区入区项目控制污染物排放，污染物排放量较大化工项目废水中苯系物、硫化物、氰化物、挥发酚及废气中苯系物、烃类、一氧化碳、氨、氟、氯、硫化氢、硫醇、硫醚（恶臭）等特征污染物应控制项目各污染物的排放总量。</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szCs w:val="20"/>
              </w:rPr>
            </w:pPr>
          </w:p>
        </w:tc>
        <w:tc>
          <w:tcPr>
            <w:tcW w:w="519" w:type="pct"/>
            <w:vMerge w:val="continue"/>
            <w:shd w:val="clear" w:color="auto" w:fill="auto"/>
            <w:vAlign w:val="center"/>
          </w:tcPr>
          <w:p>
            <w:pPr>
              <w:rPr>
                <w:rFonts w:ascii="Times New Roman" w:hAnsi="Times New Roman" w:eastAsia="仿宋" w:cs="Times New Roman"/>
                <w:sz w:val="20"/>
                <w:szCs w:val="20"/>
              </w:rPr>
            </w:pPr>
          </w:p>
        </w:tc>
        <w:tc>
          <w:tcPr>
            <w:tcW w:w="42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2对石油天然气开采、油气/液体化工仓储及运输、石化化工等重点行业建设项目，应进一步强化环境风险防范及应急管理要求。</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3</w:t>
            </w:r>
            <w:r>
              <w:rPr>
                <w:rFonts w:ascii="Times New Roman" w:hAnsi="Times New Roman" w:eastAsia="仿宋" w:cs="Times New Roman"/>
                <w:kern w:val="0"/>
                <w:sz w:val="20"/>
                <w:szCs w:val="20"/>
              </w:rPr>
              <w:t>严格落实规划环评及其批复文件制定的环境风险防范措施。</w:t>
            </w:r>
          </w:p>
          <w:p>
            <w:pPr>
              <w:widowControl/>
              <w:rPr>
                <w:rFonts w:ascii="Times New Roman" w:hAnsi="Times New Roman" w:eastAsia="仿宋" w:cs="Times New Roman"/>
                <w:sz w:val="20"/>
                <w:szCs w:val="21"/>
              </w:rPr>
            </w:pPr>
            <w:r>
              <w:rPr>
                <w:rFonts w:ascii="Times New Roman" w:hAnsi="Times New Roman" w:eastAsia="仿宋" w:cs="Times New Roman"/>
                <w:kern w:val="0"/>
                <w:sz w:val="20"/>
                <w:szCs w:val="20"/>
              </w:rPr>
              <w:t>4</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5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color w:val="FF0000"/>
                <w:sz w:val="20"/>
                <w:szCs w:val="20"/>
              </w:rPr>
            </w:pPr>
          </w:p>
        </w:tc>
        <w:tc>
          <w:tcPr>
            <w:tcW w:w="519" w:type="pct"/>
            <w:vMerge w:val="continue"/>
            <w:shd w:val="clear" w:color="auto" w:fill="auto"/>
            <w:vAlign w:val="center"/>
          </w:tcPr>
          <w:p>
            <w:pPr>
              <w:rPr>
                <w:rFonts w:ascii="Times New Roman" w:hAnsi="Times New Roman" w:eastAsia="仿宋" w:cs="Times New Roman"/>
                <w:color w:val="FF0000"/>
                <w:sz w:val="20"/>
                <w:szCs w:val="20"/>
              </w:rPr>
            </w:pPr>
          </w:p>
        </w:tc>
        <w:tc>
          <w:tcPr>
            <w:tcW w:w="423" w:type="pct"/>
            <w:vMerge w:val="continue"/>
            <w:shd w:val="clear" w:color="auto" w:fill="auto"/>
            <w:vAlign w:val="center"/>
          </w:tcPr>
          <w:p>
            <w:pPr>
              <w:widowControl/>
              <w:jc w:val="left"/>
              <w:rPr>
                <w:rFonts w:ascii="Times New Roman" w:hAnsi="Times New Roman" w:eastAsia="仿宋" w:cs="Times New Roman"/>
                <w:sz w:val="20"/>
                <w:szCs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63"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ZH22070220003</w:t>
            </w:r>
          </w:p>
        </w:tc>
        <w:tc>
          <w:tcPr>
            <w:tcW w:w="519"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吉林宁江经济开发区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1禁止不符合国家现行产业政策或园区产业发展方向项目入区。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园区优先发展能耗低、用水少、污染轻、效率高的产业和项目。限制能耗、物耗相对较大或对环境有一定的污染的项目，在进区之前应当充分论证区域资源承载力条件、环境容量及给排水条件等环境方面的可行性。</w:t>
            </w:r>
          </w:p>
        </w:tc>
        <w:tc>
          <w:tcPr>
            <w:tcW w:w="1005"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以新能源、新装备、新环保、新材料、新农资、新旅游、农副产品加工、商贸物流产业为主、废旧资源综合利用等静脉产业为辅的综合示范园区。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新能源、新装备、新环保、新材料、新农资、新旅游、农副产品加工、商贸物流、静脉产业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污染地块土壤环境管理办法（试行）》《土壤污染防治行动计划》《工矿用地土壤环境管理办法（试行）》《中共吉林省委 吉林省人民政府关于深入打好污染防治攻坚战的实施意见》《吉林省减污降碳协同增效实施方案》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6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519"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1严格要求园区入区项目控制污染物排放，污染物排放量较大化工项目废水中苯系物、硫化物、氰化物、挥发酚等特征污染物应控制项目各污染物的排放总量。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3重点行业污染治理升级改造，推进园区循环化改造。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4一体推进重点行业大气污染深度治理与节能降碳，探索开展大气污染物与温室气体排放协同控制改造提升工程试点。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5执行《吉林省新污染物治理实施方案》相关要求，加强新污染物多环境介质协同治理，全面强化清洁生产和绿色制造。</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46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519"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color w:val="FF0000"/>
                <w:sz w:val="20"/>
              </w:rPr>
            </w:pPr>
          </w:p>
        </w:tc>
        <w:tc>
          <w:tcPr>
            <w:tcW w:w="519" w:type="pct"/>
            <w:vMerge w:val="continue"/>
            <w:shd w:val="clear" w:color="auto" w:fill="auto"/>
            <w:vAlign w:val="center"/>
          </w:tcPr>
          <w:p>
            <w:pPr>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ZH22070220004</w:t>
            </w:r>
          </w:p>
        </w:tc>
        <w:tc>
          <w:tcPr>
            <w:tcW w:w="519"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松原哈达山生态农业旅游示范区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1005"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绿色产业桥头堡</w:t>
            </w:r>
          </w:p>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sz w:val="20"/>
                <w:szCs w:val="20"/>
              </w:rPr>
              <w:t>现代农业、养老养生业、休闲度假业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1005" w:type="pct"/>
            <w:vMerge w:val="continue"/>
            <w:shd w:val="clear" w:color="auto" w:fill="FFFFFF"/>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519"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69"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color w:val="FF0000"/>
                <w:sz w:val="20"/>
              </w:rPr>
            </w:pPr>
          </w:p>
        </w:tc>
        <w:tc>
          <w:tcPr>
            <w:tcW w:w="519" w:type="pct"/>
            <w:vMerge w:val="continue"/>
            <w:shd w:val="clear" w:color="auto" w:fill="auto"/>
            <w:vAlign w:val="center"/>
          </w:tcPr>
          <w:p>
            <w:pPr>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ZH22070220005</w:t>
            </w:r>
          </w:p>
        </w:tc>
        <w:tc>
          <w:tcPr>
            <w:tcW w:w="51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宁江区城镇开发边界</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1005" w:type="pct"/>
            <w:vMerge w:val="restar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widowControl/>
              <w:rPr>
                <w:rFonts w:ascii="Times New Roman" w:hAnsi="Times New Roman" w:eastAsia="仿宋" w:cs="Times New Roman"/>
                <w:b/>
                <w:bCs/>
                <w:kern w:val="0"/>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城区内三个工业区的产业发展定位：雅达虹工业区——装备制造（石油装备）、石油化工及相关产业与新型建材；西南部工业区——汽车配套、装备制造（农机装备）、内陆港物流，控制大气污染产业；东南部工业区——石化、农产品深加工（生物化工），限制大气污染产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w:t>
            </w:r>
            <w:r>
              <w:rPr>
                <w:rFonts w:ascii="Times New Roman" w:hAnsi="Times New Roman" w:eastAsia="仿宋" w:cs="Times New Roman"/>
                <w:sz w:val="20"/>
                <w:szCs w:val="20"/>
              </w:rPr>
              <w:t>《吉林省减污降碳协同增效实施方案》《中共吉林省委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rPr>
            </w:pPr>
          </w:p>
        </w:tc>
        <w:tc>
          <w:tcPr>
            <w:tcW w:w="519" w:type="pct"/>
            <w:vMerge w:val="continue"/>
            <w:shd w:val="clear" w:color="auto" w:fill="auto"/>
            <w:vAlign w:val="center"/>
          </w:tcPr>
          <w:p>
            <w:pPr>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6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sz w:val="20"/>
              </w:rPr>
            </w:pPr>
          </w:p>
        </w:tc>
        <w:tc>
          <w:tcPr>
            <w:tcW w:w="519" w:type="pct"/>
            <w:vMerge w:val="continue"/>
            <w:shd w:val="clear" w:color="auto" w:fill="auto"/>
            <w:vAlign w:val="center"/>
          </w:tcPr>
          <w:p>
            <w:pPr>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6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rPr>
                <w:rFonts w:ascii="Times New Roman" w:hAnsi="Times New Roman" w:eastAsia="仿宋" w:cs="Times New Roman"/>
                <w:color w:val="FF0000"/>
                <w:sz w:val="20"/>
              </w:rPr>
            </w:pPr>
          </w:p>
        </w:tc>
        <w:tc>
          <w:tcPr>
            <w:tcW w:w="519" w:type="pct"/>
            <w:vMerge w:val="continue"/>
            <w:shd w:val="clear" w:color="auto" w:fill="auto"/>
            <w:vAlign w:val="center"/>
          </w:tcPr>
          <w:p>
            <w:pPr>
              <w:rPr>
                <w:rFonts w:ascii="Times New Roman" w:hAnsi="Times New Roman" w:eastAsia="仿宋" w:cs="Times New Roman"/>
                <w:color w:val="FF0000"/>
                <w:sz w:val="20"/>
              </w:rPr>
            </w:pPr>
          </w:p>
        </w:tc>
        <w:tc>
          <w:tcPr>
            <w:tcW w:w="423" w:type="pct"/>
            <w:vMerge w:val="continue"/>
            <w:shd w:val="clear" w:color="auto" w:fill="auto"/>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松原市高污染燃料禁燃区划定方案（试行）》执行；禁燃区内任何单位不得新建、扩建高污染燃料燃用设施（集中供热除外）。高污染燃料销售单位要按照要求逐步取消禁燃区内的销售网点；禁燃区内现有的高污染燃料燃用设施（集中供热企业除外）予以拆除或改用电、天然气等清洁能源。对逾期继续使用高污染燃料的，按照有关法律、法规规定予以处罚。</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ZH22070220006</w:t>
            </w:r>
          </w:p>
        </w:tc>
        <w:tc>
          <w:tcPr>
            <w:tcW w:w="519"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宁江区大气环境高排放重点管控区</w:t>
            </w:r>
          </w:p>
        </w:tc>
        <w:tc>
          <w:tcPr>
            <w:tcW w:w="423" w:type="pct"/>
            <w:vMerge w:val="restart"/>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1005"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推进重点行业污染治理升级改造。推进各类园区循环化改造。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69"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6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1005"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ZH22070220007</w:t>
            </w:r>
          </w:p>
        </w:tc>
        <w:tc>
          <w:tcPr>
            <w:tcW w:w="519"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宁江区大气环境布局敏感重点管控区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1005"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大气环境布局敏感重点管控区、水环境农业污染重点管控区、建设用地污染风险重点管控区、高污染燃料禁燃区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6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松原市高污染燃料禁燃区划定方案（试行）》执行；禁燃区内任何单位不得新建、扩建高污染燃料燃用设施（集中供热除外）。高污染燃料销售单位要按照要求逐步取消禁燃区内的销售网点；禁燃区内现有的高污染燃料燃用设施（集中供热企业除外）予以拆除或改用电、天然气等清洁能源。对逾期继续使用高污染燃料的，按照有关法律、法规规定予以处罚。</w:t>
            </w:r>
          </w:p>
        </w:tc>
        <w:tc>
          <w:tcPr>
            <w:tcW w:w="1005"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ZH22070220008</w:t>
            </w:r>
          </w:p>
        </w:tc>
        <w:tc>
          <w:tcPr>
            <w:tcW w:w="519"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宁江区大气环境弱扩散重点管控区</w:t>
            </w:r>
          </w:p>
        </w:tc>
        <w:tc>
          <w:tcPr>
            <w:tcW w:w="423"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1005"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169"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2实施化肥农药减量增效行动和农膜回收行动；采取积极措施，推进养殖业大气氨减排。</w:t>
            </w:r>
          </w:p>
        </w:tc>
        <w:tc>
          <w:tcPr>
            <w:tcW w:w="1005" w:type="pct"/>
            <w:vMerge w:val="continue"/>
            <w:shd w:val="clear" w:color="auto" w:fill="FFFFFF"/>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auto"/>
            <w:vAlign w:val="center"/>
          </w:tcPr>
          <w:p>
            <w:pPr>
              <w:widowControl/>
              <w:jc w:val="left"/>
              <w:rPr>
                <w:rFonts w:ascii="Times New Roman" w:hAnsi="Times New Roman" w:eastAsia="仿宋" w:cs="Times New Roman"/>
                <w:sz w:val="20"/>
              </w:rPr>
            </w:pPr>
          </w:p>
        </w:tc>
        <w:tc>
          <w:tcPr>
            <w:tcW w:w="519" w:type="pct"/>
            <w:vMerge w:val="continue"/>
            <w:shd w:val="clear" w:color="auto" w:fill="auto"/>
            <w:vAlign w:val="center"/>
          </w:tcPr>
          <w:p>
            <w:pPr>
              <w:widowControl/>
              <w:jc w:val="left"/>
              <w:rPr>
                <w:rFonts w:ascii="Times New Roman" w:hAnsi="Times New Roman" w:eastAsia="仿宋" w:cs="Times New Roman"/>
                <w:sz w:val="20"/>
              </w:rPr>
            </w:pPr>
          </w:p>
        </w:tc>
        <w:tc>
          <w:tcPr>
            <w:tcW w:w="423" w:type="pct"/>
            <w:vMerge w:val="continue"/>
            <w:shd w:val="clear" w:color="auto" w:fill="auto"/>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69" w:type="pct"/>
            <w:shd w:val="clear" w:color="auto" w:fill="FFFFFF"/>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1005" w:type="pct"/>
            <w:vMerge w:val="continue"/>
            <w:shd w:val="clear" w:color="auto" w:fill="FFFFFF"/>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ZH22070220009</w:t>
            </w:r>
          </w:p>
        </w:tc>
        <w:tc>
          <w:tcPr>
            <w:tcW w:w="519"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宁江区水环境农业污染重点管控区</w:t>
            </w:r>
          </w:p>
        </w:tc>
        <w:tc>
          <w:tcPr>
            <w:tcW w:w="423" w:type="pct"/>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ZH22070220010</w:t>
            </w:r>
          </w:p>
        </w:tc>
        <w:tc>
          <w:tcPr>
            <w:tcW w:w="519"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宁江区高污染燃料禁燃区</w:t>
            </w:r>
          </w:p>
        </w:tc>
        <w:tc>
          <w:tcPr>
            <w:tcW w:w="423" w:type="pct"/>
            <w:shd w:val="clear" w:color="auto" w:fill="auto"/>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松原市高污染燃料禁燃区划定方案（试行）》执行；禁燃区内任何单位不得新建、扩建高污染燃料燃用设施（集中供热除外）。高污染燃料销售单位要按照要求逐步取消禁燃区内的销售网点；禁燃区内现有的高污染燃料燃用设施（集中供热企业除外）予以拆除或改用电、天然气等清洁能源。对逾期继续使用高污染燃料的，按照有关法律、法规规定予以处罚。</w:t>
            </w:r>
          </w:p>
        </w:tc>
        <w:tc>
          <w:tcPr>
            <w:tcW w:w="1005"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高污染燃料禁燃区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themeFill="background1"/>
            <w:vAlign w:val="center"/>
          </w:tcPr>
          <w:p>
            <w:pPr>
              <w:rPr>
                <w:rFonts w:ascii="Times New Roman" w:hAnsi="Times New Roman" w:eastAsia="仿宋" w:cs="Times New Roman"/>
                <w:sz w:val="20"/>
                <w:szCs w:val="20"/>
              </w:rPr>
            </w:pPr>
            <w:r>
              <w:rPr>
                <w:rFonts w:ascii="Times New Roman" w:hAnsi="Times New Roman" w:eastAsia="仿宋" w:cs="Times New Roman"/>
                <w:sz w:val="20"/>
              </w:rPr>
              <w:t>ZH22070230001</w:t>
            </w:r>
          </w:p>
        </w:tc>
        <w:tc>
          <w:tcPr>
            <w:tcW w:w="51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宁江区一般管控区</w:t>
            </w:r>
          </w:p>
        </w:tc>
        <w:tc>
          <w:tcPr>
            <w:tcW w:w="42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69"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1005"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pStyle w:val="7"/>
        <w:ind w:firstLine="480"/>
        <w:rPr>
          <w:rFonts w:ascii="Times New Roman" w:hAnsi="Times New Roman" w:eastAsia="仿宋"/>
          <w:color w:val="FF0000"/>
        </w:rPr>
      </w:pPr>
      <w:bookmarkStart w:id="127" w:name="_Toc26167858"/>
    </w:p>
    <w:p>
      <w:pPr>
        <w:keepNext/>
        <w:keepLines/>
        <w:spacing w:before="260" w:after="260"/>
        <w:outlineLvl w:val="1"/>
        <w:rPr>
          <w:rFonts w:ascii="Times New Roman" w:hAnsi="Times New Roman" w:eastAsia="仿宋" w:cs="Times New Roman"/>
          <w:b/>
          <w:bCs/>
          <w:sz w:val="32"/>
          <w:szCs w:val="32"/>
        </w:rPr>
      </w:pPr>
      <w:bookmarkStart w:id="128" w:name="_Toc1368"/>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四十三</w:t>
      </w:r>
      <w:r>
        <w:rPr>
          <w:rFonts w:ascii="Times New Roman" w:hAnsi="Times New Roman" w:eastAsia="仿宋" w:cs="Times New Roman"/>
          <w:b/>
          <w:bCs/>
          <w:sz w:val="32"/>
          <w:szCs w:val="32"/>
        </w:rPr>
        <w:t>） 松原市前郭尔罗斯蒙古族自治县</w:t>
      </w:r>
      <w:bookmarkEnd w:id="127"/>
      <w:r>
        <w:rPr>
          <w:rFonts w:ascii="Times New Roman" w:hAnsi="Times New Roman" w:eastAsia="仿宋" w:cs="Times New Roman"/>
          <w:b/>
          <w:bCs/>
          <w:sz w:val="32"/>
          <w:szCs w:val="32"/>
        </w:rPr>
        <w:t>生态环境准入清单</w:t>
      </w:r>
      <w:bookmarkEnd w:id="128"/>
    </w:p>
    <w:p>
      <w:pPr>
        <w:jc w:val="center"/>
        <w:rPr>
          <w:rFonts w:ascii="Times New Roman" w:hAnsi="Times New Roman" w:eastAsia="仿宋" w:cs="Times New Roman"/>
          <w:b/>
          <w:kern w:val="0"/>
          <w:sz w:val="24"/>
          <w:szCs w:val="24"/>
        </w:rPr>
      </w:pPr>
      <w:bookmarkStart w:id="129" w:name="_Toc26167859"/>
      <w:r>
        <w:rPr>
          <w:rFonts w:ascii="Times New Roman" w:hAnsi="Times New Roman" w:eastAsia="仿宋" w:cs="Times New Roman"/>
          <w:b/>
          <w:kern w:val="0"/>
          <w:sz w:val="24"/>
          <w:szCs w:val="24"/>
        </w:rPr>
        <w:t>表4-51-1 松原市前郭尔罗斯蒙古族自治县区域特征研判</w:t>
      </w:r>
      <w:bookmarkEnd w:id="129"/>
    </w:p>
    <w:tbl>
      <w:tblPr>
        <w:tblStyle w:val="2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3"/>
        <w:gridCol w:w="5356"/>
        <w:gridCol w:w="4832"/>
        <w:gridCol w:w="5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266"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42"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313"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rPr>
                <w:rFonts w:ascii="Times New Roman" w:hAnsi="Times New Roman" w:eastAsia="仿宋" w:cs="Times New Roman"/>
                <w:kern w:val="0"/>
                <w:szCs w:val="20"/>
              </w:rPr>
            </w:pPr>
            <w:r>
              <w:rPr>
                <w:rFonts w:ascii="Times New Roman" w:hAnsi="Times New Roman" w:eastAsia="仿宋" w:cs="Times New Roman"/>
                <w:kern w:val="0"/>
                <w:szCs w:val="20"/>
              </w:rPr>
              <w:t>1.《吉林省主体功能区规划》中的农产品主产区。</w:t>
            </w:r>
          </w:p>
          <w:p>
            <w:pPr>
              <w:tabs>
                <w:tab w:val="left" w:pos="312"/>
              </w:tabs>
              <w:rPr>
                <w:rFonts w:ascii="Times New Roman" w:hAnsi="Times New Roman" w:eastAsia="仿宋" w:cs="Times New Roman"/>
                <w:kern w:val="0"/>
                <w:sz w:val="20"/>
                <w:szCs w:val="21"/>
              </w:rPr>
            </w:pPr>
            <w:r>
              <w:rPr>
                <w:rFonts w:ascii="Times New Roman" w:hAnsi="Times New Roman" w:eastAsia="仿宋" w:cs="Times New Roman"/>
                <w:kern w:val="0"/>
                <w:szCs w:val="20"/>
              </w:rPr>
              <w:t>2.吉林省省级全域旅游示范区。</w:t>
            </w:r>
          </w:p>
          <w:p>
            <w:pPr>
              <w:rPr>
                <w:rFonts w:ascii="Times New Roman" w:hAnsi="Times New Roman" w:eastAsia="仿宋" w:cs="Times New Roman"/>
                <w:kern w:val="0"/>
                <w:szCs w:val="20"/>
              </w:rPr>
            </w:pPr>
            <w:r>
              <w:rPr>
                <w:rFonts w:ascii="Times New Roman" w:hAnsi="Times New Roman" w:eastAsia="仿宋" w:cs="Times New Roman"/>
                <w:kern w:val="0"/>
                <w:szCs w:val="20"/>
              </w:rPr>
              <w:t>3.位于吉林省西北部，</w:t>
            </w:r>
            <w:r>
              <w:fldChar w:fldCharType="begin"/>
            </w:r>
            <w:r>
              <w:instrText xml:space="preserve"> HYPERLINK "https://baike.so.com/doc/5336156-5571595.html" \t "https://baike.so.com/doc/_blank" </w:instrText>
            </w:r>
            <w:r>
              <w:fldChar w:fldCharType="separate"/>
            </w:r>
            <w:r>
              <w:rPr>
                <w:rFonts w:ascii="Times New Roman" w:hAnsi="Times New Roman" w:eastAsia="仿宋" w:cs="Times New Roman"/>
                <w:kern w:val="0"/>
                <w:szCs w:val="20"/>
              </w:rPr>
              <w:t>松嫩平原</w:t>
            </w:r>
            <w:r>
              <w:rPr>
                <w:rFonts w:ascii="Times New Roman" w:hAnsi="Times New Roman" w:eastAsia="仿宋" w:cs="Times New Roman"/>
                <w:kern w:val="0"/>
                <w:szCs w:val="20"/>
              </w:rPr>
              <w:fldChar w:fldCharType="end"/>
            </w:r>
            <w:r>
              <w:rPr>
                <w:rFonts w:ascii="Times New Roman" w:hAnsi="Times New Roman" w:eastAsia="仿宋" w:cs="Times New Roman"/>
                <w:kern w:val="0"/>
                <w:szCs w:val="20"/>
              </w:rPr>
              <w:t>南部，县城与松原市共处一城，是松原市政治、经济、文化的中心。总面积6980平方公里。辖8个镇14个乡。总人口60万。</w:t>
            </w:r>
          </w:p>
        </w:tc>
        <w:tc>
          <w:tcPr>
            <w:tcW w:w="1266" w:type="pct"/>
            <w:shd w:val="clear" w:color="auto" w:fill="FFFFFF"/>
            <w:vAlign w:val="center"/>
          </w:tcPr>
          <w:p>
            <w:pPr>
              <w:rPr>
                <w:rFonts w:ascii="Times New Roman" w:hAnsi="Times New Roman" w:eastAsia="仿宋" w:cs="Times New Roman"/>
                <w:bCs/>
                <w:kern w:val="0"/>
                <w:szCs w:val="20"/>
              </w:rPr>
            </w:pPr>
            <w:r>
              <w:rPr>
                <w:rFonts w:ascii="Times New Roman" w:hAnsi="Times New Roman" w:eastAsia="仿宋" w:cs="Times New Roman"/>
                <w:bCs/>
                <w:kern w:val="0"/>
                <w:szCs w:val="20"/>
              </w:rPr>
              <w:t>1.以打造“前农现代农业核心示范区”为战略平台，以土地规模经营、新农村建设、高效农业、建设现代农业基础工程为抓手，创新经营主体，大力培育种粮大户、农民合作社、家庭农场以及产业化龙头企业。</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利用周边地区绿色农产品的资源优势，把西部生态资源优势转化经济优势，打造辐射国内外市场的生态产品加工基地，成为引领吉林省西部地区生态经济发展的增长极。</w:t>
            </w:r>
          </w:p>
          <w:p>
            <w:pPr>
              <w:tabs>
                <w:tab w:val="left" w:pos="312"/>
              </w:tabs>
              <w:rPr>
                <w:rFonts w:ascii="Times New Roman" w:hAnsi="Times New Roman" w:eastAsia="仿宋" w:cs="Times New Roman"/>
                <w:bCs/>
                <w:kern w:val="0"/>
                <w:szCs w:val="21"/>
              </w:rPr>
            </w:pPr>
            <w:r>
              <w:rPr>
                <w:rFonts w:ascii="Times New Roman" w:hAnsi="Times New Roman" w:eastAsia="仿宋" w:cs="Times New Roman"/>
                <w:bCs/>
                <w:kern w:val="0"/>
                <w:szCs w:val="20"/>
              </w:rPr>
              <w:t>2.深入挖掘旅游资源，积极开发旅游产品，把前郭打造集大湖湿地渔猎、草原农牧观光、民俗风情体验和养生休闲度假等于一体的知名国际级生态旅游目的地，东北草原文化旅游集聚地。</w:t>
            </w:r>
          </w:p>
        </w:tc>
        <w:tc>
          <w:tcPr>
            <w:tcW w:w="1142" w:type="pct"/>
            <w:shd w:val="clear" w:color="auto" w:fill="FFFFFF"/>
            <w:vAlign w:val="center"/>
          </w:tcPr>
          <w:p>
            <w:pPr>
              <w:rPr>
                <w:rFonts w:ascii="Times New Roman" w:hAnsi="Times New Roman" w:eastAsia="仿宋" w:cs="Times New Roman"/>
                <w:bCs/>
                <w:kern w:val="0"/>
                <w:szCs w:val="20"/>
              </w:rPr>
            </w:pPr>
            <w:r>
              <w:rPr>
                <w:rFonts w:ascii="Times New Roman" w:hAnsi="Times New Roman" w:eastAsia="仿宋" w:cs="Times New Roman"/>
                <w:bCs/>
                <w:kern w:val="0"/>
                <w:szCs w:val="20"/>
              </w:rPr>
              <w:t>地表水超标；</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水土流失；</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湿地功能退化；</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土地沙化、盐碱化；</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草场退化。</w:t>
            </w:r>
          </w:p>
        </w:tc>
        <w:tc>
          <w:tcPr>
            <w:tcW w:w="1313" w:type="pct"/>
            <w:shd w:val="clear" w:color="auto" w:fill="FFFFFF"/>
            <w:vAlign w:val="center"/>
          </w:tcPr>
          <w:p>
            <w:pPr>
              <w:numPr>
                <w:ilvl w:val="0"/>
                <w:numId w:val="3"/>
              </w:numPr>
              <w:rPr>
                <w:rFonts w:ascii="Times New Roman" w:hAnsi="Times New Roman" w:eastAsia="仿宋" w:cs="Times New Roman"/>
                <w:bCs/>
                <w:kern w:val="0"/>
                <w:szCs w:val="20"/>
              </w:rPr>
            </w:pPr>
            <w:r>
              <w:rPr>
                <w:rFonts w:ascii="Times New Roman" w:hAnsi="Times New Roman" w:eastAsia="仿宋" w:cs="Times New Roman"/>
                <w:bCs/>
                <w:kern w:val="0"/>
                <w:szCs w:val="20"/>
              </w:rPr>
              <w:t>重点保护</w:t>
            </w:r>
          </w:p>
          <w:p>
            <w:pPr>
              <w:rPr>
                <w:rFonts w:ascii="Times New Roman" w:hAnsi="Times New Roman" w:eastAsia="仿宋" w:cs="Times New Roman"/>
                <w:bCs/>
                <w:kern w:val="0"/>
                <w:szCs w:val="20"/>
              </w:rPr>
            </w:pPr>
            <w:r>
              <w:rPr>
                <w:rFonts w:hint="eastAsia" w:ascii="Times New Roman" w:hAnsi="Times New Roman" w:eastAsia="仿宋" w:cs="Times New Roman"/>
                <w:bCs/>
                <w:kern w:val="0"/>
                <w:szCs w:val="20"/>
              </w:rPr>
              <w:t>吉林</w:t>
            </w:r>
            <w:r>
              <w:rPr>
                <w:rFonts w:ascii="Times New Roman" w:hAnsi="Times New Roman" w:eastAsia="仿宋" w:cs="Times New Roman"/>
                <w:bCs/>
                <w:kern w:val="0"/>
                <w:szCs w:val="20"/>
              </w:rPr>
              <w:t>查干湖国家级自然保护区、黑土地资源、吉林长岭腰井子羊草草原省级自然保护区、吉林松原哈达山省级湿地公园、松原市龙坑饮用水水源保护区、松原市城区松花江饮用水水源保护区、松原市哈达山水库葛氏鲈塘鳢省级水产种质资源保护区、吉林前郭查干湖蒙古鲌国家级水产种质资源保护区、吉林前郭新庙泡特有鱼类国家级水产种质资源保护区、嫩江前郭段国家级水产种质资源保护区、松花江宁江段国家级水产种质资源保护区、松原松花江银鲴国家级水产种质资源保护区、嫩江前郭段国家级水产种质资源保护区、国家级公益林</w:t>
            </w:r>
            <w:r>
              <w:rPr>
                <w:rFonts w:hint="eastAsia" w:ascii="Times New Roman" w:hAnsi="Times New Roman" w:eastAsia="仿宋" w:cs="Times New Roman"/>
                <w:bCs/>
                <w:kern w:val="0"/>
                <w:szCs w:val="20"/>
              </w:rPr>
              <w:t>。</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2.重点解决问题</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（1）改善区域水环境。</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（2）确保人类开发活动不挤占耕地。</w:t>
            </w:r>
          </w:p>
          <w:p>
            <w:pPr>
              <w:rPr>
                <w:rFonts w:ascii="Times New Roman" w:hAnsi="Times New Roman" w:eastAsia="仿宋" w:cs="Times New Roman"/>
                <w:bCs/>
                <w:kern w:val="0"/>
                <w:szCs w:val="20"/>
              </w:rPr>
            </w:pPr>
            <w:r>
              <w:rPr>
                <w:rFonts w:ascii="Times New Roman" w:hAnsi="Times New Roman" w:eastAsia="仿宋" w:cs="Times New Roman"/>
                <w:bCs/>
                <w:kern w:val="0"/>
                <w:szCs w:val="20"/>
              </w:rPr>
              <w:t>（</w:t>
            </w:r>
            <w:r>
              <w:rPr>
                <w:rFonts w:hint="eastAsia" w:ascii="Times New Roman" w:hAnsi="Times New Roman" w:eastAsia="仿宋" w:cs="Times New Roman"/>
                <w:bCs/>
                <w:kern w:val="0"/>
                <w:szCs w:val="20"/>
              </w:rPr>
              <w:t>3</w:t>
            </w:r>
            <w:r>
              <w:rPr>
                <w:rFonts w:ascii="Times New Roman" w:hAnsi="Times New Roman" w:eastAsia="仿宋" w:cs="Times New Roman"/>
                <w:bCs/>
                <w:kern w:val="0"/>
                <w:szCs w:val="20"/>
              </w:rPr>
              <w:t>）加强湿地、盐碱地的修复和保护。</w:t>
            </w:r>
          </w:p>
          <w:p>
            <w:pPr>
              <w:rPr>
                <w:rFonts w:ascii="Times New Roman" w:hAnsi="Times New Roman" w:eastAsia="仿宋" w:cs="Times New Roman"/>
                <w:bCs/>
                <w:kern w:val="0"/>
                <w:szCs w:val="21"/>
              </w:rPr>
            </w:pPr>
            <w:r>
              <w:rPr>
                <w:rFonts w:ascii="Times New Roman" w:hAnsi="Times New Roman" w:eastAsia="仿宋" w:cs="Times New Roman"/>
                <w:bCs/>
                <w:kern w:val="0"/>
                <w:szCs w:val="20"/>
              </w:rPr>
              <w:t>（</w:t>
            </w:r>
            <w:r>
              <w:rPr>
                <w:rFonts w:hint="eastAsia" w:ascii="Times New Roman" w:hAnsi="Times New Roman" w:eastAsia="仿宋" w:cs="Times New Roman"/>
                <w:bCs/>
                <w:kern w:val="0"/>
                <w:szCs w:val="20"/>
              </w:rPr>
              <w:t>4</w:t>
            </w:r>
            <w:r>
              <w:rPr>
                <w:rFonts w:ascii="Times New Roman" w:hAnsi="Times New Roman" w:eastAsia="仿宋" w:cs="Times New Roman"/>
                <w:bCs/>
                <w:kern w:val="0"/>
                <w:szCs w:val="20"/>
              </w:rPr>
              <w:t>）加强草原综合治理。</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表4-51-2 松原市前郭尔罗斯蒙古族自治县生态环境准入清单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03"/>
        <w:gridCol w:w="2271"/>
        <w:gridCol w:w="1776"/>
        <w:gridCol w:w="1772"/>
        <w:gridCol w:w="9220"/>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37"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20"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9"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80"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93"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rPr>
              <w:t>ZH22072110001</w:t>
            </w:r>
          </w:p>
        </w:tc>
        <w:tc>
          <w:tcPr>
            <w:tcW w:w="537" w:type="pct"/>
            <w:vMerge w:val="restart"/>
            <w:shd w:val="clear" w:color="auto" w:fill="auto"/>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rPr>
              <w:t>吉林</w:t>
            </w:r>
            <w:r>
              <w:rPr>
                <w:rFonts w:ascii="Times New Roman" w:hAnsi="Times New Roman" w:eastAsia="仿宋" w:cs="Times New Roman"/>
                <w:sz w:val="20"/>
              </w:rPr>
              <w:t>查干湖国家级自然保护区</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4生态保护红线内重要湿地执行《中华人民共和国湿地保护法》《湿地保护管理规定》《吉林省湿地保护条例》《关于特别是作为水禽栖息地的国际重要湿地公约》相关要求。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5生态保护红线内江河源头区域执行《水功能区监督管理办法》相关要求。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6严格落实油水井关停退出措施，平稳有序退出自然保护区。</w:t>
            </w:r>
          </w:p>
        </w:tc>
        <w:tc>
          <w:tcPr>
            <w:tcW w:w="993"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自然保护区、水产种质资源保护区、江河源头区域、重要湿地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sz w:val="20"/>
              </w:rPr>
            </w:pPr>
          </w:p>
        </w:tc>
        <w:tc>
          <w:tcPr>
            <w:tcW w:w="537" w:type="pct"/>
            <w:vMerge w:val="continue"/>
            <w:shd w:val="clear" w:color="auto" w:fill="auto"/>
            <w:vAlign w:val="center"/>
          </w:tcPr>
          <w:p>
            <w:pPr>
              <w:rPr>
                <w:rFonts w:ascii="Times New Roman" w:hAnsi="Times New Roman" w:eastAsia="仿宋" w:cs="Times New Roman"/>
                <w:sz w:val="20"/>
              </w:rPr>
            </w:pPr>
          </w:p>
        </w:tc>
        <w:tc>
          <w:tcPr>
            <w:tcW w:w="420" w:type="pct"/>
            <w:vMerge w:val="continue"/>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加强退出期油田企业的环境监管，把油气开采对生态环境的影响降至最低。</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ZH22072110002</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吉林长岭腰井子羊草草原省级自然保护区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ZH22072110003</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吉林松原哈达山省级湿地公园</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ZH22072110004</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松原市龙坑饮用水水源保护区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ZH22072110005</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松原市城区松花江饮用水水源保护区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2饮用水水源保护区执行《中华人民共和国水污染防治法》《饮用水水源保护区污染防治管理规定》《吉林省城镇饮用水水源保护条例》相关要求。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ZH22072110006</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松原市哈达山水库葛氏鲈塘鳢省级水产种质资源保护区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ZH22072110007</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吉林前郭查干湖蒙古鲌国家级水产种质资源保护区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3重要湿地执行《中华人民共和国湿地保护法》《湿地保护管理规定》《吉林省湿地保护条例》《关于特别是作为水禽栖息地的国际重要湿地公约》相关要求。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ZH22072110008</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吉林前郭新庙泡特有鱼类国家级水产种质资源保护区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ZH22072110009</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嫩江前郭段国家级水产种质资源保护区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ZH22072110010</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嫩江前郭段国家级水产种质资源保护区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ZH22072110011</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松花江宁江段国家级水产种质资源保护区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ZH22072110012</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松原松花江银鲴国家级水产种质资源保护区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2水产种质资源保护区执行《水产种质资源保护区管理办法》相关要求。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ZH22072110013</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前郭县国家级公益林</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ZH22072110014</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前郭县国家级公益林</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ZH22072110015</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查干湖水功能区一级区保护区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3江河源头区域执行《水功能区监督管理办法》相关要求。</w:t>
            </w:r>
          </w:p>
          <w:p>
            <w:pPr>
              <w:rPr>
                <w:rFonts w:ascii="Times New Roman" w:hAnsi="Times New Roman" w:eastAsia="仿宋" w:cs="Times New Roman"/>
                <w:sz w:val="20"/>
                <w:szCs w:val="21"/>
              </w:rPr>
            </w:pPr>
            <w:r>
              <w:rPr>
                <w:rFonts w:ascii="Times New Roman" w:hAnsi="Times New Roman" w:eastAsia="仿宋" w:cs="Times New Roman"/>
                <w:sz w:val="20"/>
                <w:szCs w:val="21"/>
              </w:rPr>
              <w:t>4禁止各种损害生态系统水源涵养功能的经济社会活动和生产方式，如无序采矿、毁林开荒、湿地和草地开垦、过度放牧等。禁止导致水体污染的产业发展。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6禁止生物多样性维护生态功能区的大规模水电开发和林纸一体化产业发展。禁止各种损害栖息地的经济社会活动和生产方式，如无序采矿、毁林开荒、湿地和草地开垦等。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sz w:val="20"/>
                <w:szCs w:val="21"/>
              </w:rPr>
            </w:pPr>
            <w:r>
              <w:rPr>
                <w:rFonts w:ascii="Times New Roman" w:hAnsi="Times New Roman" w:eastAsia="仿宋" w:cs="Times New Roman"/>
                <w:sz w:val="20"/>
                <w:szCs w:val="21"/>
              </w:rPr>
              <w:t>7禁止在沙化土地上砍挖灌木、药材及其他固沙植物。在沙化土地封禁保护区范围内，禁止一切破坏植被的活动。禁止在沙化土地封禁保护区范围内安置移民。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8禁止发展高耗水工业。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9原则上不再新建各类产业园区，严禁随意扩大现有产业园区范围。以工业为主的产业园区应加快完成园区的循环化改造，鼓励推进低消耗、可循环、少排放的生态型工业区建设。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10</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江河源头区域、黑土地保护区、水源涵养、防风固沙、生物多样性、水土保持、盐渍化、水土流失、土地沙化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ZH22072110016</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前郭县黑土地保护区</w:t>
            </w:r>
          </w:p>
        </w:tc>
        <w:tc>
          <w:tcPr>
            <w:tcW w:w="420"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rPr>
                <w:rFonts w:ascii="Times New Roman" w:hAnsi="Times New Roman" w:eastAsia="仿宋" w:cs="Times New Roman"/>
                <w:kern w:val="0"/>
                <w:sz w:val="20"/>
                <w:szCs w:val="20"/>
              </w:rPr>
            </w:pPr>
            <w:r>
              <w:rPr>
                <w:rFonts w:ascii="Times New Roman" w:hAnsi="Times New Roman" w:eastAsia="仿宋" w:cs="Times New Roman"/>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ZH22072110017</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前郭县水源涵养功能重要区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1"/>
              </w:rPr>
            </w:pPr>
            <w:r>
              <w:rPr>
                <w:rFonts w:ascii="Times New Roman" w:hAnsi="Times New Roman" w:eastAsia="仿宋" w:cs="Times New Roman"/>
                <w:sz w:val="20"/>
                <w:szCs w:val="21"/>
              </w:rPr>
              <w:t>3禁止各种损害生态系统水源涵养功能的经济社会活动和生产方式，如无序采矿、毁林开荒、湿地和草地开垦、过度放牧等。</w:t>
            </w:r>
          </w:p>
          <w:p>
            <w:pPr>
              <w:rPr>
                <w:rFonts w:ascii="Times New Roman" w:hAnsi="Times New Roman" w:eastAsia="仿宋" w:cs="Times New Roman"/>
                <w:sz w:val="20"/>
                <w:szCs w:val="21"/>
              </w:rPr>
            </w:pPr>
            <w:r>
              <w:rPr>
                <w:rFonts w:ascii="Times New Roman" w:hAnsi="Times New Roman" w:eastAsia="仿宋" w:cs="Times New Roman"/>
                <w:sz w:val="20"/>
                <w:szCs w:val="21"/>
              </w:rPr>
              <w:t>4禁止导致水体污染的产业发展。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水源涵养、水土保持、黑土地保护区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ZH22072110018</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前郭县防风固沙功能生态保护红线</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ZH22072110019</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前郭县防风固沙重要区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1"/>
              </w:rPr>
            </w:pPr>
            <w:r>
              <w:rPr>
                <w:rFonts w:ascii="Times New Roman" w:hAnsi="Times New Roman" w:eastAsia="仿宋" w:cs="Times New Roman"/>
                <w:sz w:val="20"/>
                <w:szCs w:val="20"/>
              </w:rPr>
              <w:t>3</w:t>
            </w:r>
            <w:r>
              <w:rPr>
                <w:rFonts w:ascii="Times New Roman" w:hAnsi="Times New Roman" w:eastAsia="仿宋" w:cs="Times New Roman"/>
                <w:sz w:val="20"/>
                <w:szCs w:val="21"/>
              </w:rPr>
              <w:t>禁止发展高耗水工业。</w:t>
            </w:r>
          </w:p>
          <w:p>
            <w:pPr>
              <w:rPr>
                <w:rFonts w:ascii="Times New Roman" w:hAnsi="Times New Roman" w:eastAsia="仿宋" w:cs="Times New Roman"/>
                <w:sz w:val="20"/>
                <w:szCs w:val="21"/>
              </w:rPr>
            </w:pPr>
            <w:r>
              <w:rPr>
                <w:rFonts w:hint="eastAsia" w:ascii="Times New Roman" w:hAnsi="Times New Roman" w:eastAsia="仿宋" w:cs="Times New Roman"/>
                <w:sz w:val="20"/>
                <w:szCs w:val="21"/>
              </w:rPr>
              <w:t>4</w:t>
            </w:r>
            <w:r>
              <w:rPr>
                <w:rFonts w:ascii="Times New Roman" w:hAnsi="Times New Roman" w:eastAsia="仿宋" w:cs="Times New Roman"/>
                <w:sz w:val="20"/>
                <w:szCs w:val="21"/>
              </w:rPr>
              <w:t>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hint="eastAsia" w:ascii="Times New Roman" w:hAnsi="Times New Roman" w:eastAsia="仿宋" w:cs="Times New Roman"/>
                <w:sz w:val="20"/>
                <w:szCs w:val="21"/>
              </w:rPr>
              <w:t>5</w:t>
            </w:r>
            <w:r>
              <w:rPr>
                <w:rFonts w:ascii="Times New Roman" w:hAnsi="Times New Roman" w:eastAsia="仿宋" w:cs="Times New Roman"/>
                <w:sz w:val="20"/>
                <w:szCs w:val="21"/>
              </w:rPr>
              <w:t>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hint="eastAsia" w:ascii="Times New Roman" w:hAnsi="Times New Roman" w:eastAsia="仿宋" w:cs="Times New Roman"/>
                <w:sz w:val="20"/>
                <w:szCs w:val="21"/>
              </w:rPr>
              <w:t>6</w:t>
            </w:r>
            <w:r>
              <w:rPr>
                <w:rFonts w:ascii="Times New Roman" w:hAnsi="Times New Roman" w:eastAsia="仿宋" w:cs="Times New Roman"/>
                <w:sz w:val="20"/>
                <w:szCs w:val="21"/>
              </w:rPr>
              <w:t>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hint="eastAsia" w:ascii="Times New Roman" w:hAnsi="Times New Roman" w:eastAsia="仿宋" w:cs="Times New Roman"/>
                <w:sz w:val="20"/>
                <w:szCs w:val="21"/>
              </w:rPr>
              <w:t>7</w:t>
            </w:r>
            <w:r>
              <w:rPr>
                <w:rFonts w:ascii="Times New Roman" w:hAnsi="Times New Roman" w:eastAsia="仿宋" w:cs="Times New Roman"/>
                <w:sz w:val="20"/>
                <w:szCs w:val="21"/>
              </w:rPr>
              <w:t>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hint="eastAsia" w:ascii="Times New Roman" w:hAnsi="Times New Roman" w:eastAsia="仿宋" w:cs="Times New Roman"/>
                <w:sz w:val="20"/>
                <w:szCs w:val="21"/>
              </w:rPr>
              <w:t>8区内不符合主体功能定位的的现有产业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1"/>
              </w:rPr>
              <w:t>9</w:t>
            </w:r>
            <w:r>
              <w:rPr>
                <w:rFonts w:ascii="Times New Roman" w:hAnsi="Times New Roman" w:eastAsia="仿宋" w:cs="Times New Roman"/>
                <w:sz w:val="20"/>
                <w:szCs w:val="21"/>
              </w:rPr>
              <w:t>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r>
              <w:rPr>
                <w:rFonts w:hint="eastAsia" w:ascii="Times New Roman" w:hAnsi="Times New Roman" w:eastAsia="仿宋" w:cs="Times New Roman"/>
                <w:sz w:val="20"/>
                <w:szCs w:val="20"/>
              </w:rPr>
              <w:t>、</w:t>
            </w:r>
            <w:r>
              <w:rPr>
                <w:rFonts w:ascii="Times New Roman" w:hAnsi="Times New Roman" w:eastAsia="仿宋" w:cs="Times New Roman"/>
                <w:sz w:val="20"/>
                <w:szCs w:val="20"/>
              </w:rPr>
              <w:t>农用地优先保护区</w:t>
            </w:r>
          </w:p>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防风固沙、水源涵养、盐渍化、水土流失、土地沙化、黑土地保护区</w:t>
            </w:r>
          </w:p>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ZH22072110020</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前郭县生物多样性维护功能生态保护红线</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ZH22072110021</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前郭县生物多样性重要区</w:t>
            </w:r>
          </w:p>
        </w:tc>
        <w:tc>
          <w:tcPr>
            <w:tcW w:w="42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3江河源头区域执行《水功能区监督管理办法》相关要求。</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6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ZH22072110022</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前郭县水土保持功能生态保护红线</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ZH22072110023</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前郭县水土流失敏感区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水土流失、土地沙化、黑土地保护区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ZH22072110024</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前郭县盐渍化敏感区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3江河源头区域执行《水功能区监督管理办法》相关要求。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4禁止发展高耗水工业。</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一般生态空间、水环境优先保护区、农用地优先保护区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盐渍化、江河源头区域、黑土地保护区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ZH22072110025</w:t>
            </w:r>
          </w:p>
        </w:tc>
        <w:tc>
          <w:tcPr>
            <w:tcW w:w="537" w:type="pc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前郭县其他生态功能生态保护红线</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ZH22072120001</w:t>
            </w:r>
          </w:p>
        </w:tc>
        <w:tc>
          <w:tcPr>
            <w:tcW w:w="53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松原经济技术开发区</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1禁止不符合国家现行产业政策或园区产业发展方向项目入区。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园区优先发展能耗低、用水少、污染轻、效率高的产业和项目。限制能耗、物耗相对较大或对环境有一定的污染的项目，在进区之前应当充分论证区域资源承载力条件、环境容量及给排水条件等环境方面的可行性。</w:t>
            </w:r>
          </w:p>
        </w:tc>
        <w:tc>
          <w:tcPr>
            <w:tcW w:w="993"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农产品加工、机械装备制造、建材、现代物流、现代服务业、油田配套产业</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“十四五”节能减排综合实施方案》《吉林省新污染物治理实施方案》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1严格要求园区入区项目控制污染物排放，污染物排放量较大化工项目废水中苯系物、硫化物、氰化物、挥发酚等特征污染物应控制项目各污染物的排放总量。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4一体推进重点行业大气污染深度治理与节能降碳，推动重点行业、重点领域氮氧化物减排，探索开展大气污染物与温室气体排放协同控制改造提升工程试点。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5执行《吉林省新污染物治理实施方案》相关要求，加强新污染物多环境介质协同治理，全面强化清洁生产和绿色制造。</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ZH22072120002</w:t>
            </w:r>
          </w:p>
        </w:tc>
        <w:tc>
          <w:tcPr>
            <w:tcW w:w="53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松原石油化学工业循环经济园区</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园区优先发展能耗低、用水少、污染轻、效率高的产业和项目。限制能耗、物耗相对较大或对环境有一定的污染的项目，在进区之前应当充分论证区域资源承载力条件、环境容量及给排水条件等环境方面的可行性。</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2禁止对大气及水环境污染严重的项目以及不符合国家现行产业政策或园区产业发展方向项目入区。</w:t>
            </w:r>
          </w:p>
        </w:tc>
        <w:tc>
          <w:tcPr>
            <w:tcW w:w="993" w:type="pct"/>
            <w:vMerge w:val="restar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以天然气化工和生物化工为基础，向精细化工、化工新材料和新能源领域进行拓展和延伸。</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石油加工、精细化工、医药化工、烯烃及深加工、煤制甲醇、耦合二氧化碳制甲醇、乙二醇、煤基可降解材料、塑料加工、车用材料、特种工程塑料、环保涂料、生物化工、仓储物流、装备配套及材料加工、绿氢生产及加工利用、绿色甲醇、合成氨、甲醇重整制氢、碳纤维生产及加工利用、大数据中心</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w:t>
            </w:r>
            <w:r>
              <w:rPr>
                <w:rFonts w:ascii="Times New Roman" w:hAnsi="Times New Roman" w:eastAsia="仿宋" w:cs="Times New Roman"/>
                <w:sz w:val="20"/>
                <w:szCs w:val="21"/>
              </w:rPr>
              <w:t>《污染地块土壤环境管理办法（试行）》《土壤污染防治行动计划》《工矿用地土壤环境管理办法（试行）》等。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2重点行业污染治理升级改造，推进各类园区循环化改造；强化堆场扬尘控制。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4执行《吉林省新污染物治理实施方案》相关要求，加强新污染物多环境介质协同治理，全面强化清洁生产和绿色制造。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严格要求园区入区项目控制污染物排放，污染物排放量较大化工项目废水中苯系物、硫化物、氰化物、挥发酚及废气中苯系物、烃类、一氧化碳、氨、氟、氯、硫化氢、硫醇、硫醚（恶臭）等特征污染物应控制项目各污染物的排放总量。</w:t>
            </w:r>
          </w:p>
        </w:tc>
        <w:tc>
          <w:tcPr>
            <w:tcW w:w="993" w:type="pct"/>
            <w:vMerge w:val="continue"/>
            <w:shd w:val="clear" w:color="auto" w:fill="FFFFFF"/>
            <w:vAlign w:val="center"/>
          </w:tcPr>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2对石油天然气开采、油气/液体化工仓储及运输、石化化工等重点行业建设项目，应进一步强化环境风险防范及应急管理要求。</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3</w:t>
            </w:r>
            <w:r>
              <w:rPr>
                <w:rFonts w:ascii="Times New Roman" w:hAnsi="Times New Roman" w:eastAsia="仿宋" w:cs="Times New Roman"/>
                <w:kern w:val="0"/>
                <w:sz w:val="20"/>
                <w:szCs w:val="20"/>
              </w:rPr>
              <w:t>严格落实规划环评及其批复文件制定的环境风险防范措施。</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4到2025年，城镇人口密集区现有不符合安全和卫生防护距离要求的危险化学品生产企业就地改造达标、搬迁进入规范化工园区或关闭退出，企业安全和环境风险大幅降低。</w:t>
            </w:r>
          </w:p>
          <w:p>
            <w:pPr>
              <w:widowControl/>
              <w:rPr>
                <w:rFonts w:ascii="Times New Roman" w:hAnsi="Times New Roman" w:eastAsia="仿宋" w:cs="Times New Roman"/>
                <w:sz w:val="20"/>
                <w:szCs w:val="21"/>
              </w:rPr>
            </w:pPr>
            <w:r>
              <w:rPr>
                <w:rFonts w:ascii="Times New Roman" w:hAnsi="Times New Roman" w:eastAsia="仿宋" w:cs="Times New Roman"/>
                <w:kern w:val="0"/>
                <w:sz w:val="20"/>
                <w:szCs w:val="20"/>
              </w:rPr>
              <w:t>5</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6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szCs w:val="20"/>
              </w:rPr>
            </w:pPr>
          </w:p>
        </w:tc>
        <w:tc>
          <w:tcPr>
            <w:tcW w:w="537" w:type="pct"/>
            <w:vMerge w:val="continue"/>
            <w:shd w:val="clear" w:color="auto" w:fill="auto"/>
            <w:vAlign w:val="center"/>
          </w:tcPr>
          <w:p>
            <w:pPr>
              <w:widowControl/>
              <w:jc w:val="left"/>
              <w:rPr>
                <w:rFonts w:ascii="Times New Roman" w:hAnsi="Times New Roman" w:eastAsia="仿宋" w:cs="Times New Roman"/>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3" w:type="pct"/>
            <w:vMerge w:val="continue"/>
            <w:shd w:val="clear" w:color="auto" w:fill="FFFFFF"/>
            <w:vAlign w:val="center"/>
          </w:tcPr>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ZH22072120003</w:t>
            </w:r>
          </w:p>
        </w:tc>
        <w:tc>
          <w:tcPr>
            <w:tcW w:w="537"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吉林前郭查干湖旅游经济开发区</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按照《产业结构调整指导目录》中的鼓励类、限制类、淘汰类范围执行，并结合各行业国家现行产业政策。尤其鼓励清洁生产型、高新技术型和节水节能型企业进入；应符合开发区的产业政策、发展方向，优化区内产业结构，提高整体经济实力，并能适合当地自然环境，满足环保要求的污染小、能耗低、效益高的产业项目。</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2禁止入区的项目主要是不符合旅游开发区的产业发展方向，能耗、物耗较大，污染较重的项目。尤其是对区域大气环境及地下水环境污染严重的项目，或者是耗水量大的项目，应坚决禁止其入区，主要为：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①国际上和国家各部门禁止或准备禁止生产的项目、淘汰的项目；</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②超过生态承载力的旅游活动；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③禁止不符合查干湖国家级自然保护区总体规划旅游项目入区。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④各入区项目应按照规划空间管制（禁止建设区、限制建设区和适宜建设区）进行规划开发建设，查干湖国家级自然保护区核心区和缓冲区内严禁开发建设。</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大气环境受体敏感重点管控区、水环境质量不达标重点管控区、水环境城镇生活污染重点管控区、高污染燃料禁燃区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汽车销售与服务、农副产品（食品）加工、建材、金属及非金属制造、文化创业、民族特色旅游产品加工、特色旅游、生态度假、有机渔业</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1严格落实规划环评及其批复文件制定的污染物排放管控措施。</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2未完成水环境质量改善目标要求的地区，暂停审批新增重点水污染物排放总量的建设项目。新建、改建、扩建重点行业建设项目应提出有效的区域削减方案，主要污染物实行区域倍量削减。</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禁燃区内禁止燃用的高污染燃料按照《松原市高污染燃料禁燃区划定方案（试行）》执行；禁燃区内任何单位不得新建、扩建高污染燃料燃用设施（集中供热除外）。高污染燃料销售单位要按照要求逐步取消禁燃区内的销售网点；禁燃区内现有的高污染燃料燃用设施（集中供热企业除外）予以拆除或改用电、天然气等清洁能源。对逾期继续使用高污染燃料的，按照有关法律、法规规定予以处罚。</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2积极推进区内供热（汽）管网建设，尽快实现开发区集中供热。在实现开发区集中供热之前，应采用电加热或清洁能源作为过渡热源。园区新建供热设施须执行排放浓度限值。</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ZH22070220004</w:t>
            </w:r>
          </w:p>
        </w:tc>
        <w:tc>
          <w:tcPr>
            <w:tcW w:w="537"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松原哈达山生态农业旅游示范区</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绿色产业桥头堡</w:t>
            </w:r>
          </w:p>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sz w:val="20"/>
                <w:szCs w:val="20"/>
              </w:rPr>
              <w:t>现代农业、养老养生业、休闲度假业</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ZH22072120005</w:t>
            </w:r>
          </w:p>
        </w:tc>
        <w:tc>
          <w:tcPr>
            <w:tcW w:w="537"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前郭县长山化工产业园</w:t>
            </w:r>
          </w:p>
        </w:tc>
        <w:tc>
          <w:tcPr>
            <w:tcW w:w="420" w:type="pct"/>
            <w:vMerge w:val="restar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3" w:type="pct"/>
            <w:vMerge w:val="continue"/>
            <w:shd w:val="clear" w:color="auto" w:fill="FFFFFF"/>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shd w:val="clear" w:color="auto" w:fill="auto"/>
            <w:vAlign w:val="center"/>
          </w:tcPr>
          <w:p>
            <w:pPr>
              <w:widowControl/>
              <w:jc w:val="left"/>
              <w:rPr>
                <w:rFonts w:ascii="Times New Roman" w:hAnsi="Times New Roman" w:eastAsia="仿宋" w:cs="Times New Roman"/>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FFFFFF"/>
            <w:vAlign w:val="center"/>
          </w:tcPr>
          <w:p>
            <w:pPr>
              <w:rPr>
                <w:rFonts w:ascii="Times New Roman" w:hAnsi="Times New Roman" w:eastAsia="仿宋" w:cs="Times New Roman"/>
                <w:color w:val="FF0000"/>
                <w:sz w:val="20"/>
                <w:szCs w:val="20"/>
              </w:rPr>
            </w:pPr>
          </w:p>
        </w:tc>
        <w:tc>
          <w:tcPr>
            <w:tcW w:w="537" w:type="pct"/>
            <w:vMerge w:val="continue"/>
            <w:shd w:val="clear" w:color="auto" w:fill="auto"/>
            <w:vAlign w:val="center"/>
          </w:tcPr>
          <w:p>
            <w:pPr>
              <w:rPr>
                <w:rFonts w:ascii="Times New Roman" w:hAnsi="Times New Roman" w:eastAsia="仿宋" w:cs="Times New Roman"/>
                <w:color w:val="FF0000"/>
                <w:sz w:val="20"/>
                <w:szCs w:val="20"/>
              </w:rPr>
            </w:pPr>
          </w:p>
        </w:tc>
        <w:tc>
          <w:tcPr>
            <w:tcW w:w="420" w:type="pct"/>
            <w:vMerge w:val="continue"/>
            <w:shd w:val="clear" w:color="auto" w:fill="auto"/>
            <w:vAlign w:val="center"/>
          </w:tcPr>
          <w:p>
            <w:pPr>
              <w:widowControl/>
              <w:jc w:val="left"/>
              <w:rPr>
                <w:rFonts w:ascii="Times New Roman" w:hAnsi="Times New Roman" w:eastAsia="仿宋" w:cs="Times New Roman"/>
                <w:color w:val="FF0000"/>
                <w:sz w:val="20"/>
                <w:szCs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tcBorders>
              <w:top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ZH22072120006</w:t>
            </w:r>
          </w:p>
        </w:tc>
        <w:tc>
          <w:tcPr>
            <w:tcW w:w="537" w:type="pct"/>
            <w:vMerge w:val="restart"/>
            <w:tcBorders>
              <w:top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前郭县城镇开发边界</w:t>
            </w:r>
          </w:p>
        </w:tc>
        <w:tc>
          <w:tcPr>
            <w:tcW w:w="420" w:type="pct"/>
            <w:vMerge w:val="restart"/>
            <w:tcBorders>
              <w:top w:val="single" w:color="auto" w:sz="4" w:space="0"/>
              <w:left w:val="nil"/>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93"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大气环境受体敏感重点管控区、水环境质量不达标重点管控区、水环境城镇生活污染重点管控区、建设用地污染风险重点管控区、高污染燃料禁燃区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发展定位：</w:t>
            </w:r>
            <w:r>
              <w:rPr>
                <w:rFonts w:ascii="Times New Roman" w:hAnsi="Times New Roman" w:eastAsia="仿宋" w:cs="Times New Roman"/>
                <w:sz w:val="20"/>
                <w:szCs w:val="20"/>
              </w:rPr>
              <w:t>吉、黑、蒙三省（区）交汇处中心城市的重要组成部分，是以油气化工、农副产品加工、旅游业为基础的蒙古族特色鲜明的综合性城市</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rPr>
                <w:rFonts w:ascii="Times New Roman" w:hAnsi="Times New Roman" w:eastAsia="仿宋" w:cs="Times New Roman"/>
                <w:sz w:val="20"/>
              </w:rPr>
            </w:pPr>
          </w:p>
        </w:tc>
        <w:tc>
          <w:tcPr>
            <w:tcW w:w="537" w:type="pct"/>
            <w:vMerge w:val="continue"/>
            <w:shd w:val="clear" w:color="auto" w:fill="auto"/>
            <w:vAlign w:val="center"/>
          </w:tcPr>
          <w:p>
            <w:pPr>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8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2未完成水环境质量改善目标要求的地区，暂停审批新增重点水污染物排放总量的建设项目。新建、改建、扩建重点行业建设项目应提出有效的区域削减方案，主要污染物实行区域倍量削减。</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rPr>
                <w:rFonts w:ascii="Times New Roman" w:hAnsi="Times New Roman" w:eastAsia="仿宋" w:cs="Times New Roman"/>
                <w:sz w:val="20"/>
              </w:rPr>
            </w:pPr>
          </w:p>
        </w:tc>
        <w:tc>
          <w:tcPr>
            <w:tcW w:w="537" w:type="pct"/>
            <w:vMerge w:val="continue"/>
            <w:shd w:val="clear" w:color="auto" w:fill="auto"/>
            <w:vAlign w:val="center"/>
          </w:tcPr>
          <w:p>
            <w:pPr>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环境风险防控</w:t>
            </w:r>
          </w:p>
        </w:tc>
        <w:tc>
          <w:tcPr>
            <w:tcW w:w="218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tcBorders>
              <w:bottom w:val="single" w:color="auto" w:sz="4" w:space="0"/>
            </w:tcBorders>
            <w:shd w:val="clear" w:color="auto" w:fill="auto"/>
            <w:vAlign w:val="center"/>
          </w:tcPr>
          <w:p>
            <w:pPr>
              <w:rPr>
                <w:rFonts w:ascii="Times New Roman" w:hAnsi="Times New Roman" w:eastAsia="仿宋" w:cs="Times New Roman"/>
                <w:sz w:val="20"/>
              </w:rPr>
            </w:pPr>
          </w:p>
        </w:tc>
        <w:tc>
          <w:tcPr>
            <w:tcW w:w="537" w:type="pct"/>
            <w:vMerge w:val="continue"/>
            <w:tcBorders>
              <w:bottom w:val="single" w:color="auto" w:sz="4" w:space="0"/>
            </w:tcBorders>
            <w:shd w:val="clear" w:color="auto" w:fill="auto"/>
            <w:vAlign w:val="center"/>
          </w:tcPr>
          <w:p>
            <w:pPr>
              <w:rPr>
                <w:rFonts w:ascii="Times New Roman" w:hAnsi="Times New Roman" w:eastAsia="仿宋" w:cs="Times New Roman"/>
                <w:sz w:val="20"/>
              </w:rPr>
            </w:pPr>
          </w:p>
        </w:tc>
        <w:tc>
          <w:tcPr>
            <w:tcW w:w="420" w:type="pct"/>
            <w:vMerge w:val="continue"/>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止新建、改建、扩建任何燃用高污染燃料的设施（集中供热锅炉、热电联产锅炉除外）；对于现有的高污染燃料燃用设施，各类燃煤炉窑（灶）等燃用设施的单位，应当在规定的期限内改用天然气、液化石油气、电或者其他清洁能源。</w:t>
            </w:r>
          </w:p>
        </w:tc>
        <w:tc>
          <w:tcPr>
            <w:tcW w:w="993" w:type="pct"/>
            <w:vMerge w:val="continue"/>
            <w:tcBorders>
              <w:bottom w:val="single" w:color="auto" w:sz="4" w:space="0"/>
            </w:tcBorders>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ZH22072120007</w:t>
            </w:r>
          </w:p>
        </w:tc>
        <w:tc>
          <w:tcPr>
            <w:tcW w:w="537"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w:t>
            </w:r>
            <w:r>
              <w:rPr>
                <w:rFonts w:hint="eastAsia" w:ascii="Times New Roman" w:hAnsi="Times New Roman" w:eastAsia="仿宋" w:cs="Times New Roman"/>
                <w:sz w:val="20"/>
              </w:rPr>
              <w:t>县</w:t>
            </w:r>
            <w:r>
              <w:rPr>
                <w:rFonts w:ascii="Times New Roman" w:hAnsi="Times New Roman" w:eastAsia="仿宋" w:cs="Times New Roman"/>
                <w:sz w:val="20"/>
              </w:rPr>
              <w:t>大气环境高排放重点管控区</w:t>
            </w:r>
          </w:p>
        </w:tc>
        <w:tc>
          <w:tcPr>
            <w:tcW w:w="420" w:type="pct"/>
            <w:vMerge w:val="restart"/>
            <w:tcBorders>
              <w:left w:val="nil"/>
              <w:right w:val="nil"/>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93"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推进重点行业污染治理升级改造。推进各类园区循环化改造。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1"/>
              </w:rPr>
              <w:t>环境风险防控</w:t>
            </w:r>
          </w:p>
        </w:tc>
        <w:tc>
          <w:tcPr>
            <w:tcW w:w="2180"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537"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8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93" w:type="pct"/>
            <w:vMerge w:val="continue"/>
            <w:tcBorders>
              <w:bottom w:val="single" w:color="auto" w:sz="4" w:space="0"/>
            </w:tcBorders>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ZH22072120008</w:t>
            </w:r>
          </w:p>
        </w:tc>
        <w:tc>
          <w:tcPr>
            <w:tcW w:w="537"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前郭县大气环境布局敏感重点管控区</w:t>
            </w:r>
          </w:p>
        </w:tc>
        <w:tc>
          <w:tcPr>
            <w:tcW w:w="420" w:type="pct"/>
            <w:vMerge w:val="restart"/>
            <w:tcBorders>
              <w:left w:val="nil"/>
              <w:right w:val="nil"/>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93"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大气环境布局敏感重点管控区、水环境质量不达标重点管控区、建设用地污染风险重点管控区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3未完成水环境质量改善目标要求的地区，暂停审批新增重点水污染物排放总量的建设项目。新建、改建、扩建重点行业建设项目应提出有效的区域削减方案，主要污染物实行区域倍量削减。</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537"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tcBorders>
              <w:bottom w:val="single" w:color="auto" w:sz="4" w:space="0"/>
            </w:tcBorders>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ZH22072120009</w:t>
            </w:r>
          </w:p>
        </w:tc>
        <w:tc>
          <w:tcPr>
            <w:tcW w:w="537" w:type="pct"/>
            <w:vMerge w:val="restart"/>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前郭县大气环境弱扩散重点管控区</w:t>
            </w:r>
          </w:p>
        </w:tc>
        <w:tc>
          <w:tcPr>
            <w:tcW w:w="420" w:type="pct"/>
            <w:vMerge w:val="restart"/>
            <w:tcBorders>
              <w:left w:val="nil"/>
              <w:right w:val="nil"/>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9" w:type="pct"/>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93"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shd w:val="clear" w:color="auto" w:fill="auto"/>
            <w:vAlign w:val="center"/>
          </w:tcPr>
          <w:p>
            <w:pPr>
              <w:widowControl/>
              <w:jc w:val="left"/>
              <w:rPr>
                <w:rFonts w:ascii="Times New Roman" w:hAnsi="Times New Roman" w:eastAsia="仿宋" w:cs="Times New Roman"/>
                <w:sz w:val="20"/>
              </w:rPr>
            </w:pPr>
          </w:p>
        </w:tc>
        <w:tc>
          <w:tcPr>
            <w:tcW w:w="537" w:type="pct"/>
            <w:vMerge w:val="continue"/>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1深入推进秸秆禁烧管控，实行秸秆全域禁烧。加快淘汰老旧车辆；强化道路扬尘控制。</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2实施化肥农药减量增效行动和农膜回收行动；采取积极措施，推进养殖业大气氨减排。</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537" w:type="pct"/>
            <w:vMerge w:val="continue"/>
            <w:tcBorders>
              <w:bottom w:val="single" w:color="auto" w:sz="4" w:space="0"/>
            </w:tcBorders>
            <w:shd w:val="clear" w:color="auto" w:fill="auto"/>
            <w:vAlign w:val="center"/>
          </w:tcPr>
          <w:p>
            <w:pPr>
              <w:widowControl/>
              <w:jc w:val="left"/>
              <w:rPr>
                <w:rFonts w:ascii="Times New Roman" w:hAnsi="Times New Roman" w:eastAsia="仿宋" w:cs="Times New Roman"/>
                <w:sz w:val="20"/>
              </w:rPr>
            </w:pPr>
          </w:p>
        </w:tc>
        <w:tc>
          <w:tcPr>
            <w:tcW w:w="420" w:type="pct"/>
            <w:vMerge w:val="continue"/>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p>
        </w:tc>
        <w:tc>
          <w:tcPr>
            <w:tcW w:w="419"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80" w:type="pct"/>
            <w:shd w:val="clear" w:color="auto" w:fill="FFFFFF"/>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93" w:type="pct"/>
            <w:vMerge w:val="continue"/>
            <w:tcBorders>
              <w:bottom w:val="single" w:color="auto" w:sz="4" w:space="0"/>
            </w:tcBorders>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tcBorders>
              <w:bottom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ZH22072120010</w:t>
            </w:r>
          </w:p>
        </w:tc>
        <w:tc>
          <w:tcPr>
            <w:tcW w:w="537" w:type="pct"/>
            <w:tcBorders>
              <w:bottom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前郭县水环境农业污染重点管控区</w:t>
            </w:r>
          </w:p>
        </w:tc>
        <w:tc>
          <w:tcPr>
            <w:tcW w:w="420" w:type="pct"/>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9" w:type="pct"/>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93"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tcBorders>
              <w:bottom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ZH22072120011</w:t>
            </w:r>
          </w:p>
        </w:tc>
        <w:tc>
          <w:tcPr>
            <w:tcW w:w="537" w:type="pct"/>
            <w:tcBorders>
              <w:bottom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前郭县水环境质量不达标重点管控区</w:t>
            </w:r>
          </w:p>
        </w:tc>
        <w:tc>
          <w:tcPr>
            <w:tcW w:w="420" w:type="pct"/>
            <w:tcBorders>
              <w:left w:val="nil"/>
              <w:bottom w:val="single" w:color="auto" w:sz="4" w:space="0"/>
              <w:right w:val="nil"/>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未完成水环境质量改善目标要求的地区，暂停审批新增重点水污染物排放总量的建设项目。新建、改建、扩建重点行业建设项目应提出有效的区域削减方案，主要污染物实行区域倍量削减。</w:t>
            </w:r>
          </w:p>
        </w:tc>
        <w:tc>
          <w:tcPr>
            <w:tcW w:w="993"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水环境质量不达标重点管控区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0" w:type="pct"/>
            <w:tcBorders>
              <w:top w:val="single" w:color="auto" w:sz="4" w:space="0"/>
              <w:bottom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ZH22072130001</w:t>
            </w:r>
          </w:p>
        </w:tc>
        <w:tc>
          <w:tcPr>
            <w:tcW w:w="537" w:type="pct"/>
            <w:tcBorders>
              <w:top w:val="single" w:color="auto" w:sz="4" w:space="0"/>
              <w:bottom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前郭县一般管控区</w:t>
            </w:r>
          </w:p>
        </w:tc>
        <w:tc>
          <w:tcPr>
            <w:tcW w:w="42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9" w:type="pct"/>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0"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pStyle w:val="7"/>
        <w:ind w:firstLine="480"/>
        <w:rPr>
          <w:rFonts w:ascii="Times New Roman" w:hAnsi="Times New Roman" w:eastAsia="仿宋"/>
          <w:color w:val="FF0000"/>
        </w:rPr>
      </w:pPr>
      <w:bookmarkStart w:id="130" w:name="_Toc26167861"/>
    </w:p>
    <w:p>
      <w:pPr>
        <w:keepNext/>
        <w:keepLines/>
        <w:spacing w:before="260" w:after="260"/>
        <w:outlineLvl w:val="1"/>
        <w:rPr>
          <w:rFonts w:ascii="Times New Roman" w:hAnsi="Times New Roman" w:eastAsia="仿宋" w:cs="Times New Roman"/>
          <w:b/>
          <w:bCs/>
          <w:sz w:val="32"/>
          <w:szCs w:val="32"/>
        </w:rPr>
      </w:pPr>
      <w:bookmarkStart w:id="131" w:name="_Toc17726"/>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四十四</w:t>
      </w:r>
      <w:r>
        <w:rPr>
          <w:rFonts w:ascii="Times New Roman" w:hAnsi="Times New Roman" w:eastAsia="仿宋" w:cs="Times New Roman"/>
          <w:b/>
          <w:bCs/>
          <w:sz w:val="32"/>
          <w:szCs w:val="32"/>
        </w:rPr>
        <w:t>）松原市长岭县</w:t>
      </w:r>
      <w:bookmarkEnd w:id="130"/>
      <w:r>
        <w:rPr>
          <w:rFonts w:ascii="Times New Roman" w:hAnsi="Times New Roman" w:eastAsia="仿宋" w:cs="Times New Roman"/>
          <w:b/>
          <w:bCs/>
          <w:sz w:val="32"/>
          <w:szCs w:val="32"/>
        </w:rPr>
        <w:t>生态环境准入清单</w:t>
      </w:r>
      <w:bookmarkEnd w:id="131"/>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表4-52-1 松原市长岭县区域特征研判</w:t>
      </w:r>
    </w:p>
    <w:tbl>
      <w:tblPr>
        <w:tblStyle w:val="2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1"/>
        <w:gridCol w:w="6627"/>
        <w:gridCol w:w="4728"/>
        <w:gridCol w:w="4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位于吉林省西部，松原市南部，总面积5736.3平方公里。辖12个镇10个乡。</w:t>
            </w:r>
          </w:p>
          <w:p>
            <w:pPr>
              <w:rPr>
                <w:rFonts w:ascii="Times New Roman" w:hAnsi="Times New Roman" w:eastAsia="仿宋" w:cs="Times New Roman"/>
                <w:kern w:val="0"/>
                <w:szCs w:val="21"/>
              </w:rPr>
            </w:pPr>
          </w:p>
        </w:tc>
        <w:tc>
          <w:tcPr>
            <w:tcW w:w="1567"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重点建设长岭县大部分地区的玉米、杂粮杂豆、畜牧产品产业带。形成龙头企业带动、标准化深加工生产、营销网络统一、产业链延伸的有机农业发展模式。</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大力发展分布式新能源发电项目，建设风光互补为主要形式的光伏并网发电项目。强化西部现代电网体系，建设坚强智能电网，加强风电调度运行管理。</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积极推进具有地方特点和文化底蕴的特色旅游，着手谋划以挖掘辽金文化历史为依托的南城子田园综合旅游项目，推动一二三产业融合互动发展。</w:t>
            </w:r>
          </w:p>
        </w:tc>
        <w:tc>
          <w:tcPr>
            <w:tcW w:w="111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水土流失；</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土地沙化、盐碱化；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w:t>
            </w: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r>
              <w:rPr>
                <w:rFonts w:ascii="Times New Roman" w:hAnsi="Times New Roman" w:eastAsia="仿宋" w:cs="Times New Roman"/>
                <w:szCs w:val="21"/>
              </w:rPr>
              <w:t>吉林长岭龙凤湖省级自然保护区、腰井子羊草草原省级自然保护区、黑土地资源</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）加强湿地、沙地、盐碱地的修复和保护。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3</w:t>
            </w:r>
            <w:r>
              <w:rPr>
                <w:rFonts w:ascii="Times New Roman" w:hAnsi="Times New Roman" w:eastAsia="仿宋" w:cs="Times New Roman"/>
                <w:bCs/>
                <w:kern w:val="0"/>
                <w:szCs w:val="21"/>
              </w:rPr>
              <w:t>）加强草地经营，强化草地管护。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bookmarkStart w:id="132" w:name="_Toc26167863"/>
      <w:r>
        <w:rPr>
          <w:rFonts w:ascii="Times New Roman" w:hAnsi="Times New Roman" w:eastAsia="仿宋" w:cs="Times New Roman"/>
          <w:b/>
          <w:kern w:val="0"/>
          <w:sz w:val="24"/>
          <w:szCs w:val="24"/>
        </w:rPr>
        <w:t>表4-52-2 松原市长岭县生态环境准入清单</w:t>
      </w:r>
      <w:bookmarkEnd w:id="132"/>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37"/>
        <w:gridCol w:w="2238"/>
        <w:gridCol w:w="1675"/>
        <w:gridCol w:w="1802"/>
        <w:gridCol w:w="9268"/>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58" w:type="pct"/>
            <w:shd w:val="clear" w:color="auto" w:fill="FFFFFF"/>
            <w:vAlign w:val="center"/>
          </w:tcPr>
          <w:p>
            <w:pPr>
              <w:widowControl/>
              <w:jc w:val="center"/>
              <w:rPr>
                <w:rFonts w:ascii="Times New Roman" w:hAnsi="Times New Roman" w:eastAsia="仿宋" w:cs="Times New Roman"/>
                <w:b/>
                <w:kern w:val="0"/>
                <w:sz w:val="20"/>
                <w:szCs w:val="20"/>
              </w:rPr>
            </w:pPr>
            <w:bookmarkStart w:id="133" w:name="_Toc26167864"/>
            <w:r>
              <w:rPr>
                <w:rFonts w:ascii="Times New Roman" w:hAnsi="Times New Roman" w:eastAsia="仿宋" w:cs="Times New Roman"/>
                <w:b/>
                <w:kern w:val="0"/>
                <w:sz w:val="20"/>
                <w:szCs w:val="20"/>
              </w:rPr>
              <w:t>环境管控单元编码</w:t>
            </w:r>
          </w:p>
        </w:tc>
        <w:tc>
          <w:tcPr>
            <w:tcW w:w="529"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6" w:type="pct"/>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26"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91"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98"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ZH22072210001</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吉林长岭腰井子羊草草原省级自然保护区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ZH22072210002</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吉林长岭龙凤湖湿地省级自然保护区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2生态保护红线内自然保护区执行《中华人民共和国自然保护区条例》相关要求。</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ZH22072210003</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长岭县黑土地保护区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ZH22072210004</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长岭县松嫩平原防风固沙功能生态保护红线</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ZH22072210005</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长岭县防风固沙重要区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6" w:type="pct"/>
            <w:tcBorders>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1"/>
              </w:rPr>
            </w:pPr>
            <w:r>
              <w:rPr>
                <w:rFonts w:ascii="Times New Roman" w:hAnsi="Times New Roman" w:eastAsia="仿宋" w:cs="Times New Roman"/>
                <w:sz w:val="20"/>
                <w:szCs w:val="21"/>
              </w:rPr>
              <w:t>3禁止发展高耗水工业。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6原则上不再新建各类产业园区，严禁随意扩大现有产业园区范围。以工业为主的产业园区应加快完成园区的循环化改造，鼓励推进低消耗、可循环、少排放的生态型工业区建设。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8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防风固沙、盐渍化、水土流失、土地沙化、黑土地保护区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ZH22072210006</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长岭县水源涵养功能重要区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0"/>
              </w:rPr>
            </w:pPr>
            <w:r>
              <w:rPr>
                <w:rFonts w:ascii="Times New Roman" w:hAnsi="Times New Roman" w:eastAsia="仿宋" w:cs="Times New Roman"/>
                <w:sz w:val="20"/>
                <w:szCs w:val="20"/>
              </w:rPr>
              <w:t>3禁止发展高耗水工业。</w:t>
            </w:r>
          </w:p>
          <w:p>
            <w:pPr>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8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9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水源涵养、防风固沙、盐渍化、水土流失、土地沙化、黑土地保护区</w:t>
            </w:r>
          </w:p>
          <w:p>
            <w:pPr>
              <w:jc w:val="left"/>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ZH22072210007</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长岭县生物多样性重要区</w:t>
            </w:r>
          </w:p>
        </w:tc>
        <w:tc>
          <w:tcPr>
            <w:tcW w:w="396" w:type="pct"/>
            <w:tcBorders>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ZH22072210008</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长岭县土地沙化敏感区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ZH22072210009</w:t>
            </w:r>
          </w:p>
        </w:tc>
        <w:tc>
          <w:tcPr>
            <w:tcW w:w="529"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长岭县水土流失敏感区</w:t>
            </w:r>
          </w:p>
        </w:tc>
        <w:tc>
          <w:tcPr>
            <w:tcW w:w="396" w:type="pct"/>
            <w:tcBorders>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6" w:type="pct"/>
            <w:tcBorders>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tcBorders>
              <w:bottom w:val="single" w:color="auto" w:sz="4" w:space="0"/>
            </w:tcBorders>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3禁止在沙化土地上砍挖灌木、药材及其他固沙植物。在沙化土地封禁保护区范围内，禁止一切破坏植被的活动。禁止在沙化土地封禁保护区范围内安置移民。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tcBorders>
              <w:bottom w:val="single" w:color="auto" w:sz="4" w:space="0"/>
            </w:tcBorders>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水土流失、防风固沙、土地沙化、黑土地保护区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ZH22072220001</w:t>
            </w:r>
          </w:p>
        </w:tc>
        <w:tc>
          <w:tcPr>
            <w:tcW w:w="529"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吉林长岭经济开发区</w:t>
            </w:r>
          </w:p>
        </w:tc>
        <w:tc>
          <w:tcPr>
            <w:tcW w:w="396"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1按照各行业准入条件和国家产业政策的要求引进入园企业，禁止不符合国家产业政策和准入条件的企业入区。</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园区优先发展能耗低、用水少、污染轻、效率高的产业和项目。限制能耗、物耗相对较大或对环境有一定的污染的项目，在进区之前应当充分论证区域资源承载力条件、环境容量及基础设施条件等方面环境可行性。</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3禁止在化工园区外新建、扩建化工项目，未纳入国家《石化产业规划布局方案》的新建炼化项目一律不得建设。</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充分依托长岭县丰富的农产品资源、土地资源及人力资源优势，打造吉林省农副牧产品加工产业基地、吉林省西部农资产品生产基地、吉林省光伏及新能源产业基地、吉林省西部农业产业物流基地，打造中国东北、吉林省西部多产业工业基地。</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再生资源循环利用、农畜（副）产品加工、医药、化工及天然气化工、建材、装备制造、仓储物流</w:t>
            </w:r>
          </w:p>
          <w:p>
            <w:pPr>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1严格要求园区入区项目控制污染物排放，污染物排放量较大化工项目废水中苯系物、硫化物、氰化物、挥发酚等特征污染物应控制项目各污染物的排放总量。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4一体推进重点行业大气污染深度治理与节能降碳，推动重点行业、重点领域氮氧化物减排，探索开展大气污染物与温室气体排放协同控制改造提升工程试点。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5执行《吉林省新污染物治理实施方案》相关要求，加强新污染物多环境介质协同治理，全面强化清洁生产和绿色制造。</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ZH22072220002</w:t>
            </w:r>
          </w:p>
        </w:tc>
        <w:tc>
          <w:tcPr>
            <w:tcW w:w="529"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松原长岭汽车配套产业园区</w:t>
            </w:r>
          </w:p>
        </w:tc>
        <w:tc>
          <w:tcPr>
            <w:tcW w:w="396"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按照各行业准入条件和国家产业政策的要求引进入园企业，禁止不符合国家产业政策和准入条件的企业入区</w:t>
            </w:r>
            <w:r>
              <w:rPr>
                <w:rFonts w:ascii="Times New Roman" w:hAnsi="Times New Roman" w:eastAsia="仿宋" w:cs="Times New Roman"/>
                <w:sz w:val="20"/>
                <w:szCs w:val="20"/>
              </w:rPr>
              <w:t>。</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ZH22072220003</w:t>
            </w:r>
          </w:p>
        </w:tc>
        <w:tc>
          <w:tcPr>
            <w:tcW w:w="529"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吉林省长岭通用航空产业园</w:t>
            </w:r>
          </w:p>
        </w:tc>
        <w:tc>
          <w:tcPr>
            <w:tcW w:w="396"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按照各行业准入条件和国家产业政策的要求引进入园企业，禁止不符合国家产业政策和准入条件的企业入区</w:t>
            </w:r>
            <w:r>
              <w:rPr>
                <w:rFonts w:ascii="Times New Roman" w:hAnsi="Times New Roman" w:eastAsia="仿宋" w:cs="Times New Roman"/>
                <w:sz w:val="20"/>
                <w:szCs w:val="20"/>
              </w:rPr>
              <w:t>。</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ZH22072220004</w:t>
            </w:r>
          </w:p>
        </w:tc>
        <w:tc>
          <w:tcPr>
            <w:tcW w:w="529"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长岭县城镇开发边界</w:t>
            </w:r>
          </w:p>
        </w:tc>
        <w:tc>
          <w:tcPr>
            <w:tcW w:w="396"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《关于开展畜禽养殖禁养区划定工作的通知》《畜禽规模养殖污染防治条例》《吉林省减污降碳协同增效实施方案》《中共吉林省委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sz w:val="20"/>
                <w:szCs w:val="20"/>
              </w:rPr>
            </w:pPr>
          </w:p>
        </w:tc>
        <w:tc>
          <w:tcPr>
            <w:tcW w:w="426"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98" w:type="pct"/>
            <w:vMerge w:val="continue"/>
            <w:shd w:val="clear" w:color="auto" w:fill="FFFFFF"/>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8" w:type="pct"/>
            <w:vMerge w:val="continue"/>
            <w:shd w:val="clear" w:color="auto" w:fill="FFFFFF"/>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98" w:type="pct"/>
            <w:vMerge w:val="continue"/>
            <w:shd w:val="clear" w:color="auto" w:fill="FFFFFF"/>
            <w:vAlign w:val="center"/>
          </w:tcPr>
          <w:p>
            <w:pPr>
              <w:jc w:val="left"/>
              <w:rPr>
                <w:rFonts w:ascii="Times New Roman" w:hAnsi="Times New Roman" w:eastAsia="仿宋"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ZH22072220005</w:t>
            </w:r>
          </w:p>
        </w:tc>
        <w:tc>
          <w:tcPr>
            <w:tcW w:w="529" w:type="pct"/>
            <w:vMerge w:val="restar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长岭县大气环境高排放重点管控区</w:t>
            </w:r>
          </w:p>
        </w:tc>
        <w:tc>
          <w:tcPr>
            <w:tcW w:w="396"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98"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1深化工业污染治理，持续推进工业污染源全面达标排放，加大工业污染源烟气高效脱硫脱硝、除尘改造力度。</w:t>
            </w:r>
          </w:p>
          <w:p>
            <w:pPr>
              <w:rPr>
                <w:rFonts w:ascii="Times New Roman" w:hAnsi="Times New Roman" w:eastAsia="仿宋" w:cs="Times New Roman"/>
                <w:sz w:val="20"/>
                <w:szCs w:val="20"/>
              </w:rPr>
            </w:pPr>
            <w:r>
              <w:rPr>
                <w:rFonts w:ascii="Times New Roman" w:hAnsi="Times New Roman" w:eastAsia="仿宋" w:cs="Times New Roman"/>
                <w:sz w:val="20"/>
                <w:szCs w:val="20"/>
              </w:rPr>
              <w:t>推进重点行业污染治理升级改造。</w:t>
            </w:r>
          </w:p>
          <w:p>
            <w:pPr>
              <w:rPr>
                <w:rFonts w:ascii="Times New Roman" w:hAnsi="Times New Roman" w:eastAsia="仿宋" w:cs="Times New Roman"/>
                <w:sz w:val="20"/>
                <w:szCs w:val="20"/>
              </w:rPr>
            </w:pPr>
            <w:r>
              <w:rPr>
                <w:rFonts w:ascii="Times New Roman" w:hAnsi="Times New Roman" w:eastAsia="仿宋" w:cs="Times New Roman"/>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sz w:val="20"/>
                <w:szCs w:val="20"/>
              </w:rPr>
            </w:pPr>
            <w:r>
              <w:rPr>
                <w:rFonts w:ascii="Times New Roman" w:hAnsi="Times New Roman" w:eastAsia="仿宋" w:cs="Times New Roman"/>
                <w:sz w:val="20"/>
                <w:szCs w:val="20"/>
              </w:rPr>
              <w:t>3规模化畜禽养殖场（小区）应当保证畜禽粪污无害化处理和资源化利用设施的正常运转。散养密集区要实行畜禽粪便污水分户收集、集中处理利用。</w:t>
            </w:r>
          </w:p>
        </w:tc>
        <w:tc>
          <w:tcPr>
            <w:tcW w:w="998" w:type="pct"/>
            <w:vMerge w:val="continue"/>
            <w:shd w:val="clear" w:color="auto" w:fill="FFFFFF"/>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pct"/>
            <w:vMerge w:val="continue"/>
            <w:shd w:val="clear" w:color="auto" w:fill="FFFFFF"/>
            <w:vAlign w:val="center"/>
          </w:tcPr>
          <w:p>
            <w:pPr>
              <w:rPr>
                <w:rFonts w:ascii="Times New Roman" w:hAnsi="Times New Roman" w:eastAsia="仿宋" w:cs="Times New Roman"/>
                <w:sz w:val="20"/>
                <w:szCs w:val="20"/>
              </w:rPr>
            </w:pPr>
          </w:p>
        </w:tc>
        <w:tc>
          <w:tcPr>
            <w:tcW w:w="529" w:type="pct"/>
            <w:vMerge w:val="continue"/>
            <w:shd w:val="clear" w:color="auto" w:fill="FFFFFF"/>
            <w:vAlign w:val="center"/>
          </w:tcPr>
          <w:p>
            <w:pPr>
              <w:rPr>
                <w:rFonts w:ascii="Times New Roman" w:hAnsi="Times New Roman" w:eastAsia="仿宋" w:cs="Times New Roman"/>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sz w:val="20"/>
                <w:szCs w:val="20"/>
              </w:rPr>
            </w:pP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1" w:type="pct"/>
            <w:shd w:val="clear" w:color="auto" w:fill="FFFFFF"/>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8" w:type="pct"/>
            <w:vMerge w:val="continue"/>
            <w:shd w:val="clear" w:color="auto" w:fill="FFFFFF"/>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8" w:type="pct"/>
            <w:vMerge w:val="continue"/>
            <w:shd w:val="clear" w:color="auto" w:fill="FFFFFF"/>
            <w:vAlign w:val="center"/>
          </w:tcPr>
          <w:p>
            <w:pPr>
              <w:rPr>
                <w:rFonts w:ascii="Times New Roman" w:hAnsi="Times New Roman" w:eastAsia="仿宋" w:cs="Times New Roman"/>
                <w:color w:val="FF0000"/>
                <w:sz w:val="20"/>
                <w:szCs w:val="20"/>
              </w:rPr>
            </w:pPr>
          </w:p>
        </w:tc>
        <w:tc>
          <w:tcPr>
            <w:tcW w:w="529" w:type="pct"/>
            <w:vMerge w:val="continue"/>
            <w:shd w:val="clear" w:color="auto" w:fill="FFFFFF"/>
            <w:vAlign w:val="center"/>
          </w:tcPr>
          <w:p>
            <w:pPr>
              <w:rPr>
                <w:rFonts w:ascii="Times New Roman" w:hAnsi="Times New Roman" w:eastAsia="仿宋" w:cs="Times New Roman"/>
                <w:color w:val="FF0000"/>
                <w:sz w:val="20"/>
                <w:szCs w:val="20"/>
              </w:rPr>
            </w:pPr>
          </w:p>
        </w:tc>
        <w:tc>
          <w:tcPr>
            <w:tcW w:w="396" w:type="pct"/>
            <w:vMerge w:val="continue"/>
            <w:shd w:val="clear" w:color="auto" w:fill="FFFFFF"/>
            <w:vAlign w:val="center"/>
          </w:tcPr>
          <w:p>
            <w:pPr>
              <w:widowControl/>
              <w:jc w:val="left"/>
              <w:rPr>
                <w:rFonts w:ascii="Times New Roman" w:hAnsi="Times New Roman" w:eastAsia="仿宋" w:cs="Times New Roman"/>
                <w:color w:val="FF0000"/>
                <w:sz w:val="20"/>
                <w:szCs w:val="20"/>
              </w:rPr>
            </w:pPr>
          </w:p>
        </w:tc>
        <w:tc>
          <w:tcPr>
            <w:tcW w:w="42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98" w:type="pct"/>
            <w:vMerge w:val="continue"/>
            <w:shd w:val="clear" w:color="auto" w:fill="FFFFFF"/>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ZH22072220006</w:t>
            </w:r>
          </w:p>
        </w:tc>
        <w:tc>
          <w:tcPr>
            <w:tcW w:w="529"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长岭县水环境农业污染重点管控区</w:t>
            </w:r>
          </w:p>
        </w:tc>
        <w:tc>
          <w:tcPr>
            <w:tcW w:w="396"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98" w:type="pc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水环境农业污染重点管控区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《中华人民共和国畜牧法》《中华人民共和国水污染防治法》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ZH22072230001</w:t>
            </w:r>
          </w:p>
        </w:tc>
        <w:tc>
          <w:tcPr>
            <w:tcW w:w="5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长岭县一般管控区</w:t>
            </w:r>
          </w:p>
        </w:tc>
        <w:tc>
          <w:tcPr>
            <w:tcW w:w="396"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2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8" w:type="pct"/>
            <w:shd w:val="clear" w:color="auto" w:fill="FFFFFF"/>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pStyle w:val="7"/>
        <w:ind w:firstLine="480"/>
        <w:rPr>
          <w:rFonts w:ascii="Times New Roman" w:hAnsi="Times New Roman" w:eastAsia="仿宋"/>
          <w:color w:val="FF0000"/>
        </w:rPr>
      </w:pPr>
    </w:p>
    <w:p>
      <w:pPr>
        <w:keepNext/>
        <w:keepLines/>
        <w:spacing w:before="260" w:after="260"/>
        <w:outlineLvl w:val="1"/>
        <w:rPr>
          <w:rFonts w:ascii="Times New Roman" w:hAnsi="Times New Roman" w:eastAsia="仿宋" w:cs="Times New Roman"/>
          <w:b/>
          <w:bCs/>
          <w:sz w:val="32"/>
          <w:szCs w:val="32"/>
        </w:rPr>
      </w:pPr>
      <w:bookmarkStart w:id="134" w:name="_Toc6344"/>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四十五</w:t>
      </w:r>
      <w:r>
        <w:rPr>
          <w:rFonts w:ascii="Times New Roman" w:hAnsi="Times New Roman" w:eastAsia="仿宋" w:cs="Times New Roman"/>
          <w:b/>
          <w:bCs/>
          <w:sz w:val="32"/>
          <w:szCs w:val="32"/>
        </w:rPr>
        <w:t>）松原市乾安县</w:t>
      </w:r>
      <w:bookmarkEnd w:id="133"/>
      <w:r>
        <w:rPr>
          <w:rFonts w:ascii="Times New Roman" w:hAnsi="Times New Roman" w:eastAsia="仿宋" w:cs="Times New Roman"/>
          <w:b/>
          <w:bCs/>
          <w:sz w:val="32"/>
          <w:szCs w:val="32"/>
        </w:rPr>
        <w:t>生态环境准入清单</w:t>
      </w:r>
      <w:bookmarkEnd w:id="134"/>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表4-53-1 松原市乾安县区域特征研判</w:t>
      </w:r>
    </w:p>
    <w:tbl>
      <w:tblPr>
        <w:tblStyle w:val="2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1"/>
        <w:gridCol w:w="6627"/>
        <w:gridCol w:w="4728"/>
        <w:gridCol w:w="4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位于吉林省西北部，松原市西部，总面积3616.6平方公里。辖6个镇4个乡。</w:t>
            </w:r>
          </w:p>
          <w:p>
            <w:pPr>
              <w:rPr>
                <w:rFonts w:ascii="Times New Roman" w:hAnsi="Times New Roman" w:eastAsia="仿宋" w:cs="Times New Roman"/>
                <w:kern w:val="0"/>
                <w:szCs w:val="21"/>
              </w:rPr>
            </w:pPr>
          </w:p>
        </w:tc>
        <w:tc>
          <w:tcPr>
            <w:tcW w:w="1567"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以清洁、绿色健康食品工业为重点积极发展新型工业，巩固粮食安全基地，突出发展优质高效绿色农业，提速现代服务业，突出特色文化旅游、休闲健康产业，促进经济跃上新台阶。</w:t>
            </w:r>
          </w:p>
        </w:tc>
        <w:tc>
          <w:tcPr>
            <w:tcW w:w="111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水土流失；</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w:t>
            </w: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吉林查干湖国家级自然保护区、腰井子羊草草原省级自然保护区、吉林大布苏国家级自然保护区、吉林遐迩湖湿地省级自然保护区、吉林花敖泡省级湿地公园、乾安县花敖泡一级饮用水源保护区、国家级公益林、</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龙沼湿地、大布苏湿地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）加强湿地、盐碱地的修复和保护。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3</w:t>
            </w:r>
            <w:r>
              <w:rPr>
                <w:rFonts w:ascii="Times New Roman" w:hAnsi="Times New Roman" w:eastAsia="仿宋" w:cs="Times New Roman"/>
                <w:bCs/>
                <w:kern w:val="0"/>
                <w:szCs w:val="21"/>
              </w:rPr>
              <w:t>）加强草地经营，强化草地管护。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表4-53-2 松原市乾安县生态环境准入清单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55"/>
        <w:gridCol w:w="2158"/>
        <w:gridCol w:w="1735"/>
        <w:gridCol w:w="1777"/>
        <w:gridCol w:w="9293"/>
        <w:gridCol w:w="4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62"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5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196"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98"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ZH22072310001</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吉林大布苏国家级自然保护区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p>
            <w:pPr>
              <w:rPr>
                <w:rFonts w:ascii="Times New Roman" w:hAnsi="Times New Roman" w:eastAsia="仿宋" w:cs="Times New Roman"/>
                <w:b/>
                <w:kern w:val="0"/>
                <w:sz w:val="20"/>
                <w:szCs w:val="21"/>
              </w:rPr>
            </w:pPr>
            <w:r>
              <w:rPr>
                <w:rFonts w:ascii="Times New Roman" w:hAnsi="Times New Roman" w:eastAsia="仿宋" w:cs="Times New Roman"/>
                <w:sz w:val="20"/>
                <w:szCs w:val="20"/>
              </w:rPr>
              <w:t>3生态保护红线内重要湿地执行《中华人民共和国湿地保护法》《湿地保护管理规定》《吉林省湿地保护条例》《关于特别是作为水禽栖息地的国际重要湿地公约》相关要求。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w:t>
            </w:r>
            <w:r>
              <w:rPr>
                <w:rFonts w:hint="eastAsia" w:ascii="Times New Roman" w:hAnsi="Times New Roman" w:eastAsia="仿宋" w:cs="Times New Roman"/>
                <w:sz w:val="20"/>
              </w:rPr>
              <w:t>重要</w:t>
            </w:r>
            <w:r>
              <w:rPr>
                <w:rFonts w:ascii="Times New Roman" w:hAnsi="Times New Roman" w:eastAsia="仿宋" w:cs="Times New Roman"/>
                <w:sz w:val="20"/>
              </w:rPr>
              <w:t>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ZH22072310002</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吉林查干湖国家级自然保护区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2生态保护红线内自然保护区执行《中华人民共和国自然保护区条例》《前郭尔罗斯蒙古族自治县查干湖自然保护区管理条例》相关要求。</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1"/>
              </w:rPr>
              <w:t>3生态保护红线内</w:t>
            </w:r>
            <w:r>
              <w:rPr>
                <w:rFonts w:ascii="Times New Roman" w:hAnsi="Times New Roman" w:eastAsia="仿宋" w:cs="Times New Roman"/>
                <w:kern w:val="0"/>
                <w:sz w:val="20"/>
                <w:szCs w:val="20"/>
              </w:rPr>
              <w:t>江河源头区域执行《水功能区监督管理办法》相关要求。</w:t>
            </w:r>
          </w:p>
          <w:p>
            <w:pPr>
              <w:widowControl/>
              <w:rPr>
                <w:rFonts w:ascii="Times New Roman" w:hAnsi="Times New Roman" w:eastAsia="仿宋" w:cs="Times New Roman"/>
                <w:b/>
                <w:kern w:val="0"/>
                <w:sz w:val="20"/>
                <w:szCs w:val="21"/>
              </w:rPr>
            </w:pPr>
            <w:r>
              <w:rPr>
                <w:rFonts w:ascii="Times New Roman" w:hAnsi="Times New Roman" w:eastAsia="仿宋" w:cs="Times New Roman"/>
                <w:kern w:val="0"/>
                <w:sz w:val="20"/>
                <w:szCs w:val="20"/>
              </w:rPr>
              <w:t>4生态保护红线内重要湿地执行《中华人民共和国湿地保护法》《湿地保护管理规定》《吉林省湿地保护条例》《关于特别是作为水禽栖息地的国际重要湿地公约》相关要求。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自然保护区、江河源头区域、重要湿地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ZH22072310003</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吉林长岭腰井子羊草草原省级自然保护区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ZH22072310004</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吉林遐迩湖湿地省级自然保护区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ZH22072310005</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吉林花敖泡省级湿地公园</w:t>
            </w:r>
          </w:p>
        </w:tc>
        <w:tc>
          <w:tcPr>
            <w:tcW w:w="41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ZH22072310006</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乾安县花敖泡一级饮用水源保护区</w:t>
            </w:r>
          </w:p>
        </w:tc>
        <w:tc>
          <w:tcPr>
            <w:tcW w:w="41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2生态保护红线内饮用水水源保护区执行《中华人民共和国水污染防治法》《饮用水水源保护区污染防治管理规定》《吉林省城镇饮用水水源保护条例》相关要求。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生</w:t>
            </w:r>
            <w:r>
              <w:rPr>
                <w:rFonts w:ascii="Times New Roman" w:hAnsi="Times New Roman" w:eastAsia="仿宋" w:cs="Times New Roman"/>
                <w:sz w:val="20"/>
              </w:rPr>
              <w:t>态保护红线</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饮用水水源保护区、水源涵养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ZH22072310007</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乾安县国家级公益林</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kern w:val="0"/>
                <w:sz w:val="20"/>
                <w:szCs w:val="21"/>
              </w:rPr>
              <w:t>空间布局约束</w:t>
            </w:r>
          </w:p>
        </w:tc>
        <w:tc>
          <w:tcPr>
            <w:tcW w:w="2196"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2国家级公益林执行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ZH22072310008</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查干湖水功能区一级区保护区</w:t>
            </w:r>
          </w:p>
        </w:tc>
        <w:tc>
          <w:tcPr>
            <w:tcW w:w="41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2江河源头区域执行《水功能区监督管理办法》相关要求。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1"/>
              </w:rPr>
            </w:pPr>
            <w:r>
              <w:rPr>
                <w:rFonts w:ascii="Times New Roman" w:hAnsi="Times New Roman" w:eastAsia="仿宋" w:cs="Times New Roman"/>
                <w:sz w:val="20"/>
                <w:szCs w:val="21"/>
              </w:rPr>
              <w:t>4禁止各种损害生态系统水源涵养功能的经济社会活动和生产方式，如无序采矿、毁林开荒、湿地和草地开垦、过度放牧等。禁止导致水体污染的产业发展。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6禁止在沙化土地上砍挖灌木、药材及其他固沙植物。在沙化土地封禁保护区范围内，禁止一切破坏植被的活动。禁止在沙化土地封禁保护区范围内安置移民。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7禁止发展高耗水工业。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8原则上不再新建各类产业园区，严禁随意扩大现有产业园区范围。以工业为主的产业园区应加快完成园区的循环化改造，鼓励推进低消耗、可循环、少排放的生态型工业区建设。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9</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江河源头区域、黑土地保护区、水源涵养、防风固沙、盐渍化、水土流失、土地沙化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ZH22072310009</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龙沼湿地</w:t>
            </w:r>
          </w:p>
        </w:tc>
        <w:tc>
          <w:tcPr>
            <w:tcW w:w="41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2生态保护红线内重要湿地执行《中华人民共和国湿地保护法》《湿地保护管理规定》《吉林省湿地保护条例》《关于特别是作为水禽栖息地的国际重要湿地公约》相关要求。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重要湿地、生物多样性维护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ZH22072310010</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大布苏湿地</w:t>
            </w:r>
          </w:p>
        </w:tc>
        <w:tc>
          <w:tcPr>
            <w:tcW w:w="41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2重要湿地执行《中华人民共和国湿地保护法》《湿地保护管理规定》《吉林省湿地保护条例》《关于特别是作为水禽栖息地的国际重要湿地公约》相关要求。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w:t>
            </w:r>
            <w:r>
              <w:rPr>
                <w:rFonts w:ascii="Times New Roman" w:hAnsi="Times New Roman" w:eastAsia="仿宋" w:cs="Times New Roman"/>
                <w:sz w:val="20"/>
              </w:rPr>
              <w:t>水环境优先保护区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重要湿地、水土流失、防风固沙、土地沙化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rPr>
                <w:rFonts w:ascii="Times New Roman" w:hAnsi="Times New Roman" w:eastAsia="仿宋" w:cs="Times New Roman"/>
                <w:sz w:val="20"/>
              </w:rPr>
            </w:pPr>
            <w:r>
              <w:rPr>
                <w:rFonts w:ascii="Times New Roman" w:hAnsi="Times New Roman" w:eastAsia="仿宋" w:cs="Times New Roman"/>
                <w:sz w:val="20"/>
              </w:rPr>
              <w:t>ZH22072310011</w:t>
            </w:r>
          </w:p>
        </w:tc>
        <w:tc>
          <w:tcPr>
            <w:tcW w:w="510"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乾安县黑土地保护区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ZH22072310012</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乾安县水源涵养功能重要区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3禁止发展高耗水工业。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6原则上不再新建各类产业园区，严禁随意扩大现有产业园区范围。以工业为主的产业园区应加快完成园区的循环化改造，鼓励推进低消耗、可循环、少排放的生态型工业区建设。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7</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rPr>
                <w:rFonts w:ascii="Times New Roman" w:hAnsi="Times New Roman" w:eastAsia="仿宋" w:cs="Times New Roman"/>
                <w:sz w:val="20"/>
                <w:szCs w:val="21"/>
              </w:rPr>
            </w:pPr>
            <w:r>
              <w:rPr>
                <w:rFonts w:ascii="Times New Roman" w:hAnsi="Times New Roman" w:eastAsia="仿宋" w:cs="Times New Roman"/>
                <w:sz w:val="20"/>
                <w:szCs w:val="21"/>
              </w:rPr>
              <w:t>8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9江河源头区域执行《水功能区监督管理办法》相关要求。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水源涵养、防风固沙、水土保持、盐渍化、水土流失、土地沙化、江河源头区域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ZH22072310013</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乾安县生物多样性维护功能生态保护红线</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kern w:val="0"/>
                <w:sz w:val="20"/>
                <w:szCs w:val="21"/>
              </w:rPr>
              <w:t>空间布局约束</w:t>
            </w:r>
          </w:p>
        </w:tc>
        <w:tc>
          <w:tcPr>
            <w:tcW w:w="2196"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2生态保护红线内江河源头区域执行《水功能区监督管理办法》相关要求。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ZH22072310014</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乾安县生物多样性重要区</w:t>
            </w:r>
          </w:p>
        </w:tc>
        <w:tc>
          <w:tcPr>
            <w:tcW w:w="410"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ZH22072310015</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乾安县防风固沙功能生态保护红线</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kern w:val="0"/>
                <w:sz w:val="20"/>
                <w:szCs w:val="21"/>
              </w:rPr>
              <w:t>空间布局约束</w:t>
            </w:r>
          </w:p>
        </w:tc>
        <w:tc>
          <w:tcPr>
            <w:tcW w:w="2196" w:type="pct"/>
            <w:shd w:val="clear" w:color="auto" w:fill="auto"/>
            <w:vAlign w:val="center"/>
          </w:tcPr>
          <w:p>
            <w:pPr>
              <w:rPr>
                <w:rFonts w:ascii="Times New Roman" w:hAnsi="Times New Roman" w:eastAsia="仿宋" w:cs="Times New Roman"/>
                <w:b/>
                <w:kern w:val="0"/>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ZH22072310016</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乾安县防风固沙重要区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rPr>
                <w:rFonts w:ascii="Times New Roman" w:hAnsi="Times New Roman" w:eastAsia="仿宋" w:cs="Times New Roman"/>
                <w:sz w:val="20"/>
                <w:szCs w:val="21"/>
              </w:rPr>
            </w:pPr>
            <w:r>
              <w:rPr>
                <w:rFonts w:ascii="Times New Roman" w:hAnsi="Times New Roman" w:eastAsia="仿宋" w:cs="Times New Roman"/>
                <w:sz w:val="20"/>
                <w:szCs w:val="21"/>
              </w:rPr>
              <w:t>6江河源头区域执行《水功能区监督管理办法》相关要求。</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7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防风固沙、盐渍化、江河源头区域、黑土地保护区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ZH22072310017</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乾安县水土流失敏感区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kern w:val="0"/>
                <w:sz w:val="20"/>
                <w:szCs w:val="21"/>
              </w:rPr>
              <w:t>2</w:t>
            </w:r>
            <w:r>
              <w:rPr>
                <w:rFonts w:ascii="Times New Roman" w:hAnsi="Times New Roman" w:eastAsia="仿宋" w:cs="Times New Roman"/>
                <w:sz w:val="20"/>
                <w:szCs w:val="21"/>
              </w:rPr>
              <w:t>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rPr>
                <w:rFonts w:ascii="Times New Roman" w:hAnsi="Times New Roman" w:eastAsia="仿宋" w:cs="Times New Roman"/>
                <w:sz w:val="20"/>
                <w:szCs w:val="21"/>
              </w:rPr>
            </w:pPr>
            <w:r>
              <w:rPr>
                <w:rFonts w:ascii="Times New Roman" w:hAnsi="Times New Roman" w:eastAsia="仿宋" w:cs="Times New Roman"/>
                <w:sz w:val="20"/>
                <w:szCs w:val="21"/>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7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一般生态空间、农用地优先保护区</w:t>
            </w:r>
          </w:p>
          <w:p>
            <w:pPr>
              <w:rPr>
                <w:rFonts w:ascii="Times New Roman" w:hAnsi="Times New Roman" w:eastAsia="仿宋" w:cs="Times New Roman"/>
                <w:sz w:val="20"/>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水土流失、防风固沙、土地沙化、黑土地保护区</w:t>
            </w:r>
          </w:p>
          <w:p>
            <w:pPr>
              <w:rPr>
                <w:rFonts w:ascii="Times New Roman" w:hAnsi="Times New Roman" w:eastAsia="仿宋" w:cs="Times New Roman"/>
                <w:bCs/>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auto"/>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ZH22072310018</w:t>
            </w:r>
          </w:p>
        </w:tc>
        <w:tc>
          <w:tcPr>
            <w:tcW w:w="510"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乾安县盐渍化敏感区</w:t>
            </w:r>
          </w:p>
        </w:tc>
        <w:tc>
          <w:tcPr>
            <w:tcW w:w="410"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20"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jc w:val="left"/>
              <w:rPr>
                <w:rFonts w:ascii="Times New Roman" w:hAnsi="Times New Roman" w:eastAsia="仿宋" w:cs="Times New Roman"/>
                <w:b/>
                <w:kern w:val="0"/>
                <w:sz w:val="20"/>
                <w:szCs w:val="21"/>
              </w:rPr>
            </w:pPr>
            <w:r>
              <w:rPr>
                <w:rFonts w:ascii="Times New Roman" w:hAnsi="Times New Roman" w:eastAsia="仿宋" w:cs="Times New Roman"/>
                <w:sz w:val="20"/>
                <w:szCs w:val="21"/>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8" w:type="pct"/>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一般生态空间、农用地优先保护区</w:t>
            </w:r>
          </w:p>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盐渍化、土地沙化、黑土地保护区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sz w:val="20"/>
              </w:rPr>
              <w:t>ZH22072320001</w:t>
            </w:r>
          </w:p>
        </w:tc>
        <w:tc>
          <w:tcPr>
            <w:tcW w:w="510" w:type="pct"/>
            <w:vMerge w:val="restart"/>
            <w:tcBorders>
              <w:top w:val="single" w:color="auto" w:sz="4" w:space="0"/>
              <w:left w:val="single" w:color="auto" w:sz="4" w:space="0"/>
              <w:right w:val="single" w:color="auto" w:sz="4" w:space="0"/>
            </w:tcBorders>
            <w:shd w:val="clear" w:color="auto" w:fill="auto"/>
            <w:vAlign w:val="center"/>
          </w:tcPr>
          <w:p>
            <w:pPr>
              <w:widowControl/>
              <w:rPr>
                <w:rFonts w:ascii="Times New Roman" w:hAnsi="Times New Roman" w:eastAsia="仿宋" w:cs="Times New Roman"/>
                <w:b/>
                <w:kern w:val="0"/>
                <w:sz w:val="20"/>
                <w:szCs w:val="21"/>
              </w:rPr>
            </w:pPr>
            <w:r>
              <w:rPr>
                <w:rFonts w:ascii="Times New Roman" w:hAnsi="Times New Roman" w:eastAsia="仿宋" w:cs="Times New Roman"/>
                <w:sz w:val="20"/>
              </w:rPr>
              <w:t>乾安工业园区</w:t>
            </w:r>
          </w:p>
        </w:tc>
        <w:tc>
          <w:tcPr>
            <w:tcW w:w="410"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1禁止贮存对地下水饮用水源地存在环境风险的化工原料和产品、危险废物等仓储项目入区。</w:t>
            </w:r>
          </w:p>
          <w:p>
            <w:pPr>
              <w:rPr>
                <w:rFonts w:ascii="Times New Roman" w:hAnsi="Times New Roman" w:eastAsia="仿宋" w:cs="Times New Roman"/>
                <w:sz w:val="20"/>
                <w:szCs w:val="21"/>
              </w:rPr>
            </w:pPr>
            <w:r>
              <w:rPr>
                <w:rFonts w:ascii="Times New Roman" w:hAnsi="Times New Roman" w:eastAsia="仿宋" w:cs="Times New Roman"/>
                <w:sz w:val="20"/>
                <w:szCs w:val="21"/>
              </w:rPr>
              <w:t>2禁止严重危及生产安全、环境污染严重、产品质量不符合国家标准、原材料和能源消耗高及国家法律法规规定的禁止投资的项目入区；限制产能严重过剩、新上项目对产业结构没有改善、工艺技术落后（已有先进、成熟工艺技术替代的除外）、不利于节约资源和保护生态环境及法律法规规定的限制投资的项目入区。</w:t>
            </w:r>
          </w:p>
          <w:p>
            <w:pPr>
              <w:rPr>
                <w:rFonts w:ascii="Times New Roman" w:hAnsi="Times New Roman" w:eastAsia="仿宋" w:cs="Times New Roman"/>
                <w:sz w:val="20"/>
                <w:szCs w:val="21"/>
              </w:rPr>
            </w:pPr>
            <w:r>
              <w:rPr>
                <w:rFonts w:ascii="Times New Roman" w:hAnsi="Times New Roman" w:eastAsia="仿宋" w:cs="Times New Roman"/>
                <w:sz w:val="20"/>
                <w:szCs w:val="21"/>
              </w:rPr>
              <w:t>3禁止不符合国家现行产业政策或园区产业发展方向项目入区。</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4园区优先发展能耗低、用水少、污染轻、效率高的产业和项目。限制能耗、物耗相对较大或对环境有一定的污染的项目,在进区之前应当充分论证区域资源承载力条件、环境容量及给排水条件等环境方面的可行性。</w:t>
            </w:r>
          </w:p>
        </w:tc>
        <w:tc>
          <w:tcPr>
            <w:tcW w:w="998" w:type="pct"/>
            <w:vMerge w:val="restart"/>
            <w:shd w:val="clear" w:color="auto" w:fill="FFFFFF"/>
            <w:vAlign w:val="center"/>
          </w:tcPr>
          <w:p>
            <w:pPr>
              <w:widowControl/>
              <w:rPr>
                <w:rFonts w:ascii="Times New Roman" w:hAnsi="Times New Roman" w:eastAsia="仿宋" w:cs="Times New Roman"/>
                <w:sz w:val="20"/>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w:t>
            </w:r>
            <w:r>
              <w:rPr>
                <w:rFonts w:ascii="Times New Roman" w:hAnsi="Times New Roman" w:eastAsia="仿宋" w:cs="Times New Roman"/>
                <w:sz w:val="20"/>
              </w:rPr>
              <w:t>、水环境工业污染重点管控区</w:t>
            </w:r>
          </w:p>
          <w:p>
            <w:pPr>
              <w:widowControl/>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功能定位：</w:t>
            </w:r>
            <w:r>
              <w:rPr>
                <w:rFonts w:ascii="Times New Roman" w:hAnsi="Times New Roman" w:eastAsia="仿宋" w:cs="Times New Roman"/>
                <w:bCs/>
                <w:kern w:val="0"/>
                <w:sz w:val="20"/>
                <w:szCs w:val="21"/>
              </w:rPr>
              <w:t>省级特色园区和农产品加工示范区</w:t>
            </w:r>
          </w:p>
          <w:p>
            <w:pPr>
              <w:widowControl/>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农副产品加工、机械加工、仓储、农业、服装生产加工</w:t>
            </w:r>
          </w:p>
          <w:p>
            <w:pPr>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rPr>
              <w:t>园区规划环评、</w:t>
            </w:r>
            <w:r>
              <w:rPr>
                <w:rFonts w:ascii="Times New Roman" w:hAnsi="Times New Roman" w:eastAsia="仿宋" w:cs="Times New Roman"/>
                <w:sz w:val="20"/>
                <w:szCs w:val="21"/>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1严格要求园区入区项目控制污染物排放，污染物排放量较大化工项目废水中苯系物、硫化物、氰化物、挥发酚等特征污染物应控制项目各污染物的排放总量。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环境风险防控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资源开发效率</w:t>
            </w:r>
          </w:p>
        </w:tc>
        <w:tc>
          <w:tcPr>
            <w:tcW w:w="2196"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1推广园区集中供热，园区新建供热设施须执行排放浓度限值。</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2完成吉林省下达的产能置换要求。各产业执行对应的清洁生产标准。</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ZH22072320002</w:t>
            </w:r>
          </w:p>
        </w:tc>
        <w:tc>
          <w:tcPr>
            <w:tcW w:w="510"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乾安县化工产业园区</w:t>
            </w:r>
          </w:p>
        </w:tc>
        <w:tc>
          <w:tcPr>
            <w:tcW w:w="410" w:type="pct"/>
            <w:vMerge w:val="restar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ZH22072320003</w:t>
            </w:r>
          </w:p>
        </w:tc>
        <w:tc>
          <w:tcPr>
            <w:tcW w:w="510"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乾安县大遐工业集中区</w:t>
            </w:r>
          </w:p>
        </w:tc>
        <w:tc>
          <w:tcPr>
            <w:tcW w:w="410" w:type="pct"/>
            <w:vMerge w:val="restar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按照各行业准入条件和国家产业政策的要求引进入园企业，禁止不符合国家产业政策和准入条件的企业入区</w:t>
            </w:r>
            <w:r>
              <w:rPr>
                <w:rFonts w:ascii="Times New Roman" w:hAnsi="Times New Roman" w:eastAsia="仿宋" w:cs="Times New Roman"/>
                <w:sz w:val="20"/>
                <w:szCs w:val="20"/>
              </w:rPr>
              <w:t>。</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ZH22072320004</w:t>
            </w:r>
          </w:p>
        </w:tc>
        <w:tc>
          <w:tcPr>
            <w:tcW w:w="510"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乾安县赞字工业园区</w:t>
            </w:r>
          </w:p>
        </w:tc>
        <w:tc>
          <w:tcPr>
            <w:tcW w:w="410" w:type="pct"/>
            <w:vMerge w:val="restar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按照各行业准入条件和国家产业政策的要求引进入园企业，禁止不符合国家产业政策和准入条件的企业入区</w:t>
            </w:r>
            <w:r>
              <w:rPr>
                <w:rFonts w:ascii="Times New Roman" w:hAnsi="Times New Roman" w:eastAsia="仿宋" w:cs="Times New Roman"/>
                <w:sz w:val="20"/>
                <w:szCs w:val="20"/>
              </w:rPr>
              <w:t>。</w:t>
            </w:r>
          </w:p>
        </w:tc>
        <w:tc>
          <w:tcPr>
            <w:tcW w:w="998"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top w:val="single" w:color="auto" w:sz="4" w:space="0"/>
              <w:left w:val="single" w:color="auto" w:sz="4" w:space="0"/>
              <w:right w:val="single" w:color="auto" w:sz="4" w:space="0"/>
            </w:tcBorders>
            <w:shd w:val="clear" w:color="auto" w:fill="auto"/>
            <w:vAlign w:val="center"/>
          </w:tcPr>
          <w:p>
            <w:pPr>
              <w:widowControl/>
              <w:rPr>
                <w:rFonts w:ascii="Times New Roman" w:hAnsi="Times New Roman" w:eastAsia="仿宋" w:cs="Times New Roman"/>
                <w:b/>
                <w:kern w:val="0"/>
                <w:sz w:val="20"/>
                <w:szCs w:val="21"/>
              </w:rPr>
            </w:pPr>
            <w:r>
              <w:rPr>
                <w:rFonts w:ascii="Times New Roman" w:hAnsi="Times New Roman" w:eastAsia="仿宋" w:cs="Times New Roman"/>
                <w:sz w:val="20"/>
              </w:rPr>
              <w:t>ZH22072320005</w:t>
            </w:r>
          </w:p>
        </w:tc>
        <w:tc>
          <w:tcPr>
            <w:tcW w:w="510" w:type="pct"/>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sz w:val="20"/>
              </w:rPr>
              <w:t>乾安县城镇开发边界</w:t>
            </w:r>
          </w:p>
        </w:tc>
        <w:tc>
          <w:tcPr>
            <w:tcW w:w="410"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19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2除在安全或者产业布局等方面有特殊要求的项目外，原则上应避免大规模排放大气污染物的项目布局建设。</w:t>
            </w:r>
          </w:p>
          <w:p>
            <w:pPr>
              <w:rPr>
                <w:rFonts w:ascii="Times New Roman" w:hAnsi="Times New Roman" w:eastAsia="仿宋" w:cs="Times New Roman"/>
                <w:b/>
                <w:kern w:val="0"/>
                <w:sz w:val="20"/>
                <w:szCs w:val="21"/>
              </w:rPr>
            </w:pPr>
            <w:r>
              <w:rPr>
                <w:rFonts w:ascii="Times New Roman" w:hAnsi="Times New Roman" w:eastAsia="仿宋" w:cs="Times New Roman"/>
                <w:sz w:val="20"/>
                <w:szCs w:val="21"/>
              </w:rPr>
              <w:t>3除在安全或者产业布局等方面有特殊要求的项目外，应避免大规模排放水污染物的项目布局建设。</w:t>
            </w:r>
          </w:p>
        </w:tc>
        <w:tc>
          <w:tcPr>
            <w:tcW w:w="998"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大气环境受体敏感重点管控区、水环境城镇生活污染重点管控区</w:t>
            </w:r>
          </w:p>
          <w:p>
            <w:pPr>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《关于开展畜禽养殖禁养区划定工作的通知》《畜禽规模养殖污染防治条例》《吉林省生态环境保护“十四五”规划》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98" w:type="pct"/>
            <w:vMerge w:val="continue"/>
            <w:shd w:val="clear" w:color="auto" w:fill="FFFFFF"/>
            <w:vAlign w:val="center"/>
          </w:tcPr>
          <w:p>
            <w:pP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环境风险防控</w:t>
            </w:r>
          </w:p>
        </w:tc>
        <w:tc>
          <w:tcPr>
            <w:tcW w:w="2196" w:type="pct"/>
            <w:shd w:val="clear" w:color="auto" w:fill="FFFFFF"/>
            <w:vAlign w:val="center"/>
          </w:tcPr>
          <w:p>
            <w:pPr>
              <w:rPr>
                <w:rFonts w:ascii="Times New Roman" w:hAnsi="Times New Roman" w:eastAsia="仿宋" w:cs="Times New Roman"/>
                <w:b/>
                <w:kern w:val="0"/>
                <w:sz w:val="20"/>
                <w:szCs w:val="21"/>
              </w:rPr>
            </w:pP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sz w:val="20"/>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资源开发效率</w:t>
            </w:r>
          </w:p>
        </w:tc>
        <w:tc>
          <w:tcPr>
            <w:tcW w:w="2196" w:type="pct"/>
            <w:shd w:val="clear" w:color="auto" w:fill="FFFFFF"/>
            <w:vAlign w:val="center"/>
          </w:tcPr>
          <w:p>
            <w:pPr>
              <w:rPr>
                <w:rFonts w:ascii="Times New Roman" w:hAnsi="Times New Roman" w:eastAsia="仿宋" w:cs="Times New Roman"/>
                <w:b/>
                <w:kern w:val="0"/>
                <w:sz w:val="20"/>
                <w:szCs w:val="21"/>
              </w:rPr>
            </w:pPr>
            <w:r>
              <w:rPr>
                <w:rFonts w:ascii="Times New Roman" w:hAnsi="Times New Roman" w:eastAsia="仿宋" w:cs="Times New Roman"/>
                <w:sz w:val="20"/>
                <w:szCs w:val="21"/>
              </w:rPr>
              <w:t>除在安全或者产业布局等方面有特殊要求的项目外，应严格控制新建、扩建采用高污染燃料的项目和设施。</w:t>
            </w:r>
          </w:p>
        </w:tc>
        <w:tc>
          <w:tcPr>
            <w:tcW w:w="998" w:type="pct"/>
            <w:vMerge w:val="continue"/>
            <w:shd w:val="clear" w:color="auto" w:fill="FFFFFF"/>
            <w:vAlign w:val="center"/>
          </w:tcPr>
          <w:p>
            <w:pPr>
              <w:jc w:val="center"/>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ZH22072320006</w:t>
            </w:r>
          </w:p>
        </w:tc>
        <w:tc>
          <w:tcPr>
            <w:tcW w:w="510"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乾安县大气环境高排放重点管控区</w:t>
            </w:r>
          </w:p>
        </w:tc>
        <w:tc>
          <w:tcPr>
            <w:tcW w:w="410" w:type="pct"/>
            <w:vMerge w:val="restar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9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98" w:type="pct"/>
            <w:vMerge w:val="restart"/>
            <w:shd w:val="clear" w:color="auto" w:fill="FFFFFF"/>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0"/>
              </w:rPr>
              <w:t>大气环境高排放重点管控区、水环境农业污染重点管控区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2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9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98" w:type="pct"/>
            <w:vMerge w:val="continue"/>
            <w:shd w:val="clear" w:color="auto" w:fill="FFFFFF"/>
            <w:vAlign w:val="center"/>
          </w:tcPr>
          <w:p>
            <w:pPr>
              <w:jc w:val="cente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10"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FF0000"/>
                <w:kern w:val="0"/>
                <w:sz w:val="20"/>
                <w:szCs w:val="21"/>
              </w:rPr>
            </w:pPr>
          </w:p>
        </w:tc>
        <w:tc>
          <w:tcPr>
            <w:tcW w:w="4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96" w:type="pct"/>
            <w:shd w:val="clear" w:color="auto" w:fill="FFFFFF"/>
            <w:vAlign w:val="center"/>
          </w:tcPr>
          <w:p>
            <w:pPr>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8" w:type="pct"/>
            <w:vMerge w:val="continue"/>
            <w:shd w:val="clear" w:color="auto" w:fill="FFFFFF"/>
            <w:vAlign w:val="center"/>
          </w:tcPr>
          <w:p>
            <w:pPr>
              <w:jc w:val="cente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5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p>
        </w:tc>
        <w:tc>
          <w:tcPr>
            <w:tcW w:w="410"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FF0000"/>
                <w:kern w:val="0"/>
                <w:sz w:val="20"/>
                <w:szCs w:val="21"/>
              </w:rPr>
            </w:pPr>
          </w:p>
        </w:tc>
        <w:tc>
          <w:tcPr>
            <w:tcW w:w="420"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9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98" w:type="pct"/>
            <w:vMerge w:val="continue"/>
            <w:shd w:val="clear" w:color="auto" w:fill="FFFFFF"/>
            <w:vAlign w:val="center"/>
          </w:tcPr>
          <w:p>
            <w:pPr>
              <w:jc w:val="cente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ZH22072320007</w:t>
            </w:r>
          </w:p>
        </w:tc>
        <w:tc>
          <w:tcPr>
            <w:tcW w:w="510" w:type="pc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乾安县水环境农业污染重点管控区</w:t>
            </w:r>
          </w:p>
        </w:tc>
        <w:tc>
          <w:tcPr>
            <w:tcW w:w="410"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kern w:val="0"/>
                <w:sz w:val="20"/>
                <w:szCs w:val="21"/>
              </w:rPr>
            </w:pPr>
            <w:r>
              <w:rPr>
                <w:rFonts w:ascii="Times New Roman" w:hAnsi="Times New Roman" w:eastAsia="仿宋" w:cs="Times New Roman"/>
                <w:kern w:val="0"/>
                <w:sz w:val="20"/>
                <w:szCs w:val="21"/>
              </w:rPr>
              <w:t>2-重点管控</w:t>
            </w:r>
          </w:p>
        </w:tc>
        <w:tc>
          <w:tcPr>
            <w:tcW w:w="420"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污染物排放管控</w:t>
            </w:r>
          </w:p>
        </w:tc>
        <w:tc>
          <w:tcPr>
            <w:tcW w:w="2196" w:type="pct"/>
            <w:shd w:val="clear" w:color="auto" w:fill="FFFFFF"/>
            <w:vAlign w:val="center"/>
          </w:tcPr>
          <w:p>
            <w:pPr>
              <w:rPr>
                <w:rFonts w:ascii="Times New Roman" w:hAnsi="Times New Roman" w:eastAsia="仿宋" w:cs="Times New Roman"/>
                <w:b/>
                <w:kern w:val="0"/>
                <w:sz w:val="20"/>
                <w:szCs w:val="21"/>
              </w:rPr>
            </w:pPr>
            <w:r>
              <w:rPr>
                <w:rFonts w:ascii="Times New Roman" w:hAnsi="Times New Roman" w:eastAsia="仿宋" w:cs="Times New Roman"/>
                <w:sz w:val="20"/>
                <w:szCs w:val="21"/>
              </w:rPr>
              <w:t>规模化畜禽养殖场（小区）应当保证畜禽粪污无害化处理和资源化利用设施的正常运转。散养密集区要实行畜禽粪便污水分户收集、集中处理利用。</w:t>
            </w:r>
          </w:p>
        </w:tc>
        <w:tc>
          <w:tcPr>
            <w:tcW w:w="998" w:type="pct"/>
            <w:shd w:val="clear" w:color="auto" w:fill="FFFFFF"/>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0"/>
              </w:rPr>
              <w:t>水环境农业污染重点管控区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ZH22072330001</w:t>
            </w:r>
          </w:p>
        </w:tc>
        <w:tc>
          <w:tcPr>
            <w:tcW w:w="510"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乾安县一般管控区</w:t>
            </w:r>
          </w:p>
        </w:tc>
        <w:tc>
          <w:tcPr>
            <w:tcW w:w="410" w:type="pct"/>
            <w:shd w:val="clear" w:color="auto" w:fill="FFFFFF"/>
            <w:vAlign w:val="center"/>
          </w:tcPr>
          <w:p>
            <w:pPr>
              <w:widowControl/>
              <w:jc w:val="center"/>
              <w:rPr>
                <w:rFonts w:ascii="Times New Roman" w:hAnsi="Times New Roman" w:eastAsia="仿宋" w:cs="Times New Roman"/>
                <w:sz w:val="20"/>
                <w:szCs w:val="21"/>
              </w:rPr>
            </w:pPr>
            <w:r>
              <w:rPr>
                <w:rFonts w:ascii="Times New Roman" w:hAnsi="Times New Roman" w:eastAsia="仿宋" w:cs="Times New Roman"/>
                <w:sz w:val="20"/>
              </w:rPr>
              <w:t>3-一般管控</w:t>
            </w:r>
          </w:p>
        </w:tc>
        <w:tc>
          <w:tcPr>
            <w:tcW w:w="420"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19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8"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bl>
    <w:p>
      <w:pPr>
        <w:pStyle w:val="7"/>
        <w:ind w:firstLine="480"/>
        <w:rPr>
          <w:rFonts w:ascii="Times New Roman" w:hAnsi="Times New Roman" w:eastAsia="仿宋"/>
          <w:color w:val="FF0000"/>
        </w:rPr>
      </w:pPr>
      <w:bookmarkStart w:id="135" w:name="_Toc26167867"/>
    </w:p>
    <w:p>
      <w:pPr>
        <w:keepNext/>
        <w:keepLines/>
        <w:spacing w:before="260" w:after="260"/>
        <w:outlineLvl w:val="1"/>
        <w:rPr>
          <w:rFonts w:ascii="Times New Roman" w:hAnsi="Times New Roman" w:eastAsia="仿宋" w:cs="Times New Roman"/>
          <w:b/>
          <w:bCs/>
          <w:sz w:val="32"/>
          <w:szCs w:val="32"/>
        </w:rPr>
      </w:pPr>
      <w:bookmarkStart w:id="136" w:name="_Toc26982"/>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四十六</w:t>
      </w:r>
      <w:r>
        <w:rPr>
          <w:rFonts w:ascii="Times New Roman" w:hAnsi="Times New Roman" w:eastAsia="仿宋" w:cs="Times New Roman"/>
          <w:b/>
          <w:bCs/>
          <w:sz w:val="32"/>
          <w:szCs w:val="32"/>
        </w:rPr>
        <w:t>）松原市扶余市</w:t>
      </w:r>
      <w:bookmarkEnd w:id="135"/>
      <w:r>
        <w:rPr>
          <w:rFonts w:ascii="Times New Roman" w:hAnsi="Times New Roman" w:eastAsia="仿宋" w:cs="Times New Roman"/>
          <w:b/>
          <w:bCs/>
          <w:sz w:val="32"/>
          <w:szCs w:val="32"/>
        </w:rPr>
        <w:t>生态环境准入清单</w:t>
      </w:r>
      <w:bookmarkEnd w:id="136"/>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表4-54-1 松原市扶余市区域特征研判</w:t>
      </w:r>
    </w:p>
    <w:tbl>
      <w:tblPr>
        <w:tblStyle w:val="2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1"/>
        <w:gridCol w:w="6627"/>
        <w:gridCol w:w="4728"/>
        <w:gridCol w:w="4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位于吉林省西北部，松原市东面，总面积4658平方公里。辖12个镇5个乡。</w:t>
            </w:r>
          </w:p>
          <w:p>
            <w:pPr>
              <w:rPr>
                <w:rFonts w:ascii="Times New Roman" w:hAnsi="Times New Roman" w:eastAsia="仿宋" w:cs="Times New Roman"/>
                <w:kern w:val="0"/>
                <w:szCs w:val="21"/>
              </w:rPr>
            </w:pPr>
          </w:p>
        </w:tc>
        <w:tc>
          <w:tcPr>
            <w:tcW w:w="1567"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1、重点发展农畜产品加工业、化肥业、现代物流业、建材业、商贸业、机械制造业、医药业等产业，带动全市产业发展。</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2、充分利用我市丰富的石油、油母页岩、风能、太阳能、生物质等资源优势，以资源换项目。</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3、加快城市综合体、物流园区、旅游度假区、康养产业建设，培育低碳、环保、生态的现代服务业集聚区，构建特色鲜明、结构优化、功能完善的现代服务业体系。</w:t>
            </w:r>
          </w:p>
        </w:tc>
        <w:tc>
          <w:tcPr>
            <w:tcW w:w="111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水土流失；</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w:t>
            </w: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1.重点保护：吉林扶余洪泛湿地省级自然保护区、吉林松原哈达山省级湿地公园、黑土地资源</w:t>
            </w:r>
            <w:r>
              <w:rPr>
                <w:rFonts w:hint="eastAsia" w:ascii="Times New Roman" w:hAnsi="Times New Roman" w:eastAsia="仿宋" w:cs="Times New Roman"/>
                <w:bCs/>
                <w:kern w:val="0"/>
                <w:szCs w:val="21"/>
              </w:rPr>
              <w:t>。</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）加强湿地、盐碱地的修复和保护。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表4-54-2 松原市扶余市生态环境准入清单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37"/>
        <w:gridCol w:w="2200"/>
        <w:gridCol w:w="1607"/>
        <w:gridCol w:w="1844"/>
        <w:gridCol w:w="9353"/>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58" w:type="pct"/>
            <w:tcBorders>
              <w:bottom w:val="single" w:color="auto" w:sz="4" w:space="0"/>
            </w:tcBorders>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20" w:type="pct"/>
            <w:tcBorders>
              <w:bottom w:val="single" w:color="auto" w:sz="4" w:space="0"/>
            </w:tcBorders>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0" w:type="pct"/>
            <w:tcBorders>
              <w:bottom w:val="single" w:color="auto" w:sz="4" w:space="0"/>
            </w:tcBorders>
            <w:shd w:val="clear" w:color="auto" w:fill="FFFFFF"/>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36" w:type="pct"/>
            <w:tcBorders>
              <w:bottom w:val="single" w:color="auto" w:sz="4" w:space="0"/>
            </w:tcBorders>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11"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93" w:type="pct"/>
            <w:shd w:val="clear" w:color="auto" w:fill="FFFFFF"/>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ZH22078110001</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吉林扶余洪泛湿地省级自然保护区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2生态保护红线内自然保护区执行《中华人民共和国自然保护区条例》相关要求。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生态保护红线、大气环境优先保护区、水环境优先保护区</w:t>
            </w:r>
          </w:p>
          <w:p>
            <w:pPr>
              <w:jc w:val="left"/>
              <w:rPr>
                <w:rFonts w:ascii="Times New Roman" w:hAnsi="Times New Roman" w:eastAsia="仿宋" w:cs="Times New Roman"/>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ZH22078110002</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吉林松原哈达山省级湿地公园</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ZH22078110003</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扶余市黑土地保护区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ZH22078110004</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扶余市防风固沙重要区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0"/>
              </w:rPr>
              <w:t>2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ZH22078110005</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扶余市水源涵养功能重要区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0"/>
              </w:rPr>
            </w:pPr>
            <w:r>
              <w:rPr>
                <w:rFonts w:ascii="Times New Roman" w:hAnsi="Times New Roman" w:eastAsia="仿宋" w:cs="Times New Roman"/>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5禁止发展高耗水工业。</w:t>
            </w:r>
          </w:p>
          <w:p>
            <w:pPr>
              <w:rPr>
                <w:rFonts w:ascii="Times New Roman" w:hAnsi="Times New Roman" w:eastAsia="仿宋" w:cs="Times New Roman"/>
                <w:sz w:val="20"/>
                <w:szCs w:val="20"/>
              </w:rPr>
            </w:pPr>
            <w:r>
              <w:rPr>
                <w:rFonts w:ascii="Times New Roman" w:hAnsi="Times New Roman" w:eastAsia="仿宋" w:cs="Times New Roman"/>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7</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8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9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水源涵养、防风固沙、水土保持、盐渍化、水土流失、土地沙化、黑土地保护区</w:t>
            </w:r>
          </w:p>
          <w:p>
            <w:pPr>
              <w:jc w:val="left"/>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ZH22078110006</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扶余市生物多样性重要区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ZH22078110007</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扶余市水土保持功能生态保护红线</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ZH22078110008</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扶余市水土保持功能重要区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ZH22078110009</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扶余市土地沙化敏感区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5黑土地保护区执行《吉林省黑土地保护条例》相关要求。在土壤瘠薄区域采取增施有机肥、生物菌肥、调理剂等综合改良措施，探索改良治理盐碱化耕地技术路径；在具备条件区域推广秸秆深翻还田和节水灌溉技术模式；在风蚀严重区域重点推广秸秆还田免（少）耕技术模式和秸秆条带还田技术模式。</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土地沙化</w:t>
            </w:r>
          </w:p>
          <w:p>
            <w:pPr>
              <w:jc w:val="left"/>
              <w:rPr>
                <w:rFonts w:ascii="Times New Roman" w:hAnsi="Times New Roman" w:eastAsia="仿宋"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ZH22078110010</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扶余市盐渍化敏感区</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b/>
                <w:kern w:val="0"/>
                <w:sz w:val="20"/>
                <w:szCs w:val="21"/>
              </w:rPr>
            </w:pPr>
            <w:r>
              <w:rPr>
                <w:rFonts w:ascii="Times New Roman" w:hAnsi="Times New Roman" w:eastAsia="仿宋" w:cs="Times New Roman"/>
                <w:sz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sz w:val="20"/>
                <w:szCs w:val="21"/>
              </w:rPr>
              <w:t>空间布局约束</w:t>
            </w:r>
          </w:p>
        </w:tc>
        <w:tc>
          <w:tcPr>
            <w:tcW w:w="2211"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jc w:val="left"/>
              <w:rPr>
                <w:rFonts w:ascii="Times New Roman" w:hAnsi="Times New Roman" w:eastAsia="仿宋" w:cs="Times New Roman"/>
                <w:b/>
                <w:kern w:val="0"/>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一般生态空间、农用地优先保护区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盐渍化、黑土地保护区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top w:val="single" w:color="auto" w:sz="4" w:space="0"/>
              <w:bottom w:val="single" w:color="auto" w:sz="4" w:space="0"/>
              <w:right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ZH22078110011</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扶余市其他生态功能生态保护红线</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36" w:type="pct"/>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ZH22078120001</w:t>
            </w:r>
          </w:p>
        </w:tc>
        <w:tc>
          <w:tcPr>
            <w:tcW w:w="520"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松原农业高新技术开发区</w:t>
            </w:r>
          </w:p>
        </w:tc>
        <w:tc>
          <w:tcPr>
            <w:tcW w:w="380" w:type="pct"/>
            <w:vMerge w:val="restart"/>
            <w:tcBorders>
              <w:top w:val="single" w:color="auto" w:sz="4" w:space="0"/>
              <w:left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6" w:type="pct"/>
            <w:tcBorders>
              <w:top w:val="single" w:color="auto" w:sz="4" w:space="0"/>
              <w:left w:val="single" w:color="auto" w:sz="4" w:space="0"/>
              <w:bottom w:val="single" w:color="auto" w:sz="4" w:space="0"/>
            </w:tcBorders>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禁止对大气及水环境污染严重的项目以及不符合国家现行产业政策或开发区产业发展方向产业。</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东北乃至全国农业科技创新高地；吉林省现代农业发展示范区；哈长城市群经济发展重要支点；长春与哈尔滨产业转移高地；松原市经济产业发展核心区；扶余市经济高质量发展的主引擎。</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食品及农副产品加工、农产品加工装备制造、农资生产、建材及资源循环利用产业、现代服务业、仓储物流产业、先进装备制造产业、新能源产业、轻工产业、医药健康产业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2</w:t>
            </w:r>
            <w:r>
              <w:rPr>
                <w:rFonts w:ascii="Times New Roman" w:hAnsi="Times New Roman" w:eastAsia="仿宋" w:cs="Times New Roman"/>
                <w:sz w:val="20"/>
                <w:szCs w:val="20"/>
              </w:rPr>
              <w:t>重点行业污染治理升级改造，推进各类园区循环化改造。</w:t>
            </w:r>
          </w:p>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3</w:t>
            </w:r>
            <w:r>
              <w:rPr>
                <w:rFonts w:ascii="Times New Roman" w:hAnsi="Times New Roman" w:eastAsia="仿宋" w:cs="Times New Roman"/>
                <w:sz w:val="20"/>
                <w:szCs w:val="20"/>
              </w:rPr>
              <w:t>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4</w:t>
            </w:r>
            <w:r>
              <w:rPr>
                <w:rFonts w:ascii="Times New Roman" w:hAnsi="Times New Roman" w:eastAsia="仿宋" w:cs="Times New Roman"/>
                <w:sz w:val="20"/>
                <w:szCs w:val="20"/>
              </w:rPr>
              <w:t>执行《吉林省新污染物治理实施方案》相关要求，加强新污染物多环境介质协同治理，全面强化清洁生产和绿色制造。</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ZH22070220002</w:t>
            </w:r>
          </w:p>
        </w:tc>
        <w:tc>
          <w:tcPr>
            <w:tcW w:w="520"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松原哈达山生态农业旅游示范区</w:t>
            </w:r>
          </w:p>
        </w:tc>
        <w:tc>
          <w:tcPr>
            <w:tcW w:w="380" w:type="pct"/>
            <w:vMerge w:val="restart"/>
            <w:tcBorders>
              <w:left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绿色产业桥头堡</w:t>
            </w:r>
          </w:p>
          <w:p>
            <w:pPr>
              <w:widowControl/>
              <w:rPr>
                <w:rFonts w:ascii="Times New Roman" w:hAnsi="Times New Roman" w:eastAsia="仿宋" w:cs="Times New Roman"/>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sz w:val="20"/>
                <w:szCs w:val="20"/>
              </w:rPr>
              <w:t>现代农业、养老养生业、休闲度假业</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1" w:type="pct"/>
            <w:shd w:val="clear" w:color="auto" w:fill="FFFFFF"/>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color w:val="FF0000"/>
                <w:sz w:val="20"/>
                <w:szCs w:val="20"/>
              </w:rPr>
            </w:pPr>
          </w:p>
        </w:tc>
        <w:tc>
          <w:tcPr>
            <w:tcW w:w="436" w:type="pct"/>
            <w:tcBorders>
              <w:top w:val="single" w:color="auto" w:sz="4" w:space="0"/>
              <w:left w:val="single" w:color="auto" w:sz="4" w:space="0"/>
              <w:bottom w:val="single" w:color="auto" w:sz="4" w:space="0"/>
            </w:tcBorders>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ZH22078120003</w:t>
            </w:r>
          </w:p>
        </w:tc>
        <w:tc>
          <w:tcPr>
            <w:tcW w:w="520"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扶余市城镇开发边界</w:t>
            </w:r>
          </w:p>
        </w:tc>
        <w:tc>
          <w:tcPr>
            <w:tcW w:w="380" w:type="pct"/>
            <w:vMerge w:val="restart"/>
            <w:tcBorders>
              <w:top w:val="single" w:color="auto" w:sz="4" w:space="0"/>
              <w:left w:val="single" w:color="auto" w:sz="4" w:space="0"/>
              <w:right w:val="nil"/>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93"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rPr>
                <w:rFonts w:ascii="Times New Roman" w:hAnsi="Times New Roman" w:eastAsia="仿宋" w:cs="Times New Roman"/>
                <w:color w:val="FF0000"/>
                <w:sz w:val="20"/>
                <w:szCs w:val="20"/>
              </w:rPr>
            </w:pPr>
          </w:p>
        </w:tc>
        <w:tc>
          <w:tcPr>
            <w:tcW w:w="43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1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right w:val="nil"/>
            </w:tcBorders>
            <w:shd w:val="clear" w:color="auto" w:fill="auto"/>
            <w:vAlign w:val="center"/>
          </w:tcPr>
          <w:p>
            <w:pPr>
              <w:widowControl/>
              <w:rPr>
                <w:rFonts w:ascii="Times New Roman" w:hAnsi="Times New Roman" w:eastAsia="仿宋" w:cs="Times New Roman"/>
                <w:color w:val="FF0000"/>
                <w:sz w:val="20"/>
                <w:szCs w:val="20"/>
              </w:rPr>
            </w:pPr>
          </w:p>
        </w:tc>
        <w:tc>
          <w:tcPr>
            <w:tcW w:w="436"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1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0" w:type="pct"/>
            <w:vMerge w:val="continue"/>
            <w:tcBorders>
              <w:left w:val="single" w:color="auto" w:sz="4" w:space="0"/>
              <w:bottom w:val="single" w:color="auto" w:sz="4" w:space="0"/>
              <w:right w:val="nil"/>
            </w:tcBorders>
            <w:shd w:val="clear" w:color="auto" w:fill="auto"/>
            <w:vAlign w:val="center"/>
          </w:tcPr>
          <w:p>
            <w:pPr>
              <w:widowControl/>
              <w:rPr>
                <w:rFonts w:ascii="Times New Roman" w:hAnsi="Times New Roman" w:eastAsia="仿宋" w:cs="Times New Roman"/>
                <w:color w:val="FF0000"/>
                <w:sz w:val="20"/>
                <w:szCs w:val="20"/>
              </w:rPr>
            </w:pP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93" w:type="pct"/>
            <w:vMerge w:val="continue"/>
            <w:shd w:val="clear" w:color="auto" w:fill="FFFFFF"/>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ZH22078120004</w:t>
            </w:r>
          </w:p>
        </w:tc>
        <w:tc>
          <w:tcPr>
            <w:tcW w:w="520"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扶余市大气环境高排放重点管控区</w:t>
            </w:r>
          </w:p>
        </w:tc>
        <w:tc>
          <w:tcPr>
            <w:tcW w:w="380" w:type="pct"/>
            <w:vMerge w:val="restart"/>
            <w:tcBorders>
              <w:left w:val="single" w:color="auto" w:sz="4" w:space="0"/>
              <w:right w:val="nil"/>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1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93"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520" w:type="pct"/>
            <w:vMerge w:val="continue"/>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380" w:type="pct"/>
            <w:vMerge w:val="continue"/>
            <w:tcBorders>
              <w:left w:val="single" w:color="auto" w:sz="4" w:space="0"/>
              <w:right w:val="nil"/>
            </w:tcBorders>
            <w:shd w:val="clear" w:color="auto" w:fill="auto"/>
            <w:vAlign w:val="center"/>
          </w:tcPr>
          <w:p>
            <w:pPr>
              <w:widowControl/>
              <w:rPr>
                <w:rFonts w:ascii="Times New Roman" w:hAnsi="Times New Roman" w:eastAsia="仿宋" w:cs="Times New Roman"/>
                <w:color w:val="FF0000"/>
                <w:sz w:val="20"/>
                <w:szCs w:val="20"/>
              </w:rPr>
            </w:pPr>
          </w:p>
        </w:tc>
        <w:tc>
          <w:tcPr>
            <w:tcW w:w="43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1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380" w:type="pct"/>
            <w:vMerge w:val="continue"/>
            <w:tcBorders>
              <w:left w:val="single" w:color="auto" w:sz="4" w:space="0"/>
              <w:bottom w:val="single" w:color="auto" w:sz="4" w:space="0"/>
              <w:right w:val="nil"/>
            </w:tcBorders>
            <w:shd w:val="clear" w:color="auto" w:fill="auto"/>
            <w:vAlign w:val="center"/>
          </w:tcPr>
          <w:p>
            <w:pPr>
              <w:widowControl/>
              <w:rPr>
                <w:rFonts w:ascii="Times New Roman" w:hAnsi="Times New Roman" w:eastAsia="仿宋" w:cs="Times New Roman"/>
                <w:color w:val="FF0000"/>
                <w:sz w:val="20"/>
                <w:szCs w:val="20"/>
              </w:rPr>
            </w:pP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ZH22078120005</w:t>
            </w:r>
          </w:p>
        </w:tc>
        <w:tc>
          <w:tcPr>
            <w:tcW w:w="520"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扶余市大气环境弱扩散重点管控区</w:t>
            </w:r>
          </w:p>
        </w:tc>
        <w:tc>
          <w:tcPr>
            <w:tcW w:w="380" w:type="pct"/>
            <w:vMerge w:val="restart"/>
            <w:tcBorders>
              <w:left w:val="single" w:color="auto" w:sz="4" w:space="0"/>
              <w:right w:val="nil"/>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93"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520" w:type="pct"/>
            <w:vMerge w:val="continue"/>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380" w:type="pct"/>
            <w:vMerge w:val="continue"/>
            <w:tcBorders>
              <w:left w:val="single" w:color="auto" w:sz="4" w:space="0"/>
              <w:right w:val="nil"/>
            </w:tcBorders>
            <w:shd w:val="clear" w:color="auto" w:fill="auto"/>
            <w:vAlign w:val="center"/>
          </w:tcPr>
          <w:p>
            <w:pPr>
              <w:widowControl/>
              <w:rPr>
                <w:rFonts w:ascii="Times New Roman" w:hAnsi="Times New Roman" w:eastAsia="仿宋" w:cs="Times New Roman"/>
                <w:sz w:val="20"/>
                <w:szCs w:val="20"/>
              </w:rPr>
            </w:pPr>
          </w:p>
        </w:tc>
        <w:tc>
          <w:tcPr>
            <w:tcW w:w="436"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1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vMerge w:val="continue"/>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520" w:type="pct"/>
            <w:vMerge w:val="continue"/>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p>
        </w:tc>
        <w:tc>
          <w:tcPr>
            <w:tcW w:w="380" w:type="pct"/>
            <w:vMerge w:val="continue"/>
            <w:tcBorders>
              <w:left w:val="single" w:color="auto" w:sz="4" w:space="0"/>
              <w:bottom w:val="single" w:color="auto" w:sz="4" w:space="0"/>
              <w:right w:val="nil"/>
            </w:tcBorders>
            <w:shd w:val="clear" w:color="auto" w:fill="auto"/>
            <w:vAlign w:val="center"/>
          </w:tcPr>
          <w:p>
            <w:pPr>
              <w:widowControl/>
              <w:rPr>
                <w:rFonts w:ascii="Times New Roman" w:hAnsi="Times New Roman" w:eastAsia="仿宋" w:cs="Times New Roman"/>
                <w:sz w:val="20"/>
                <w:szCs w:val="20"/>
              </w:rPr>
            </w:pP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1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FFFFFF"/>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ZH22078120006</w:t>
            </w:r>
          </w:p>
        </w:tc>
        <w:tc>
          <w:tcPr>
            <w:tcW w:w="520" w:type="pct"/>
            <w:tcBorders>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扶余市水环境农业污染重点管控区</w:t>
            </w:r>
          </w:p>
        </w:tc>
        <w:tc>
          <w:tcPr>
            <w:tcW w:w="380" w:type="pct"/>
            <w:tcBorders>
              <w:left w:val="single" w:color="auto" w:sz="4" w:space="0"/>
              <w:bottom w:val="single" w:color="auto" w:sz="4" w:space="0"/>
              <w:right w:val="nil"/>
            </w:tcBorders>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规模化畜禽养殖场（小区）应当保证畜禽粪污无害化处理和资源化利用设施的正常运转。散养密集区要实行畜禽粪便污水分户收集、集中处理利用。</w:t>
            </w:r>
          </w:p>
        </w:tc>
        <w:tc>
          <w:tcPr>
            <w:tcW w:w="993" w:type="pc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ZH22078130001</w:t>
            </w:r>
          </w:p>
        </w:tc>
        <w:tc>
          <w:tcPr>
            <w:tcW w:w="520"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扶余市一般管控区</w:t>
            </w:r>
          </w:p>
        </w:tc>
        <w:tc>
          <w:tcPr>
            <w:tcW w:w="380"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36"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1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3" w:type="pct"/>
            <w:shd w:val="clear" w:color="auto" w:fill="FFFFFF"/>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rPr>
          <w:rFonts w:ascii="Times New Roman" w:hAnsi="Times New Roman" w:eastAsia="仿宋" w:cs="Times New Roman"/>
          <w:color w:val="FF0000"/>
        </w:rPr>
      </w:pPr>
    </w:p>
    <w:p>
      <w:pPr>
        <w:keepNext/>
        <w:keepLines/>
        <w:spacing w:before="260" w:after="260"/>
        <w:jc w:val="left"/>
        <w:outlineLvl w:val="1"/>
        <w:rPr>
          <w:rFonts w:ascii="Times New Roman" w:hAnsi="Times New Roman" w:eastAsia="仿宋" w:cs="Times New Roman"/>
          <w:b/>
          <w:bCs/>
          <w:sz w:val="32"/>
          <w:szCs w:val="32"/>
        </w:rPr>
      </w:pPr>
      <w:bookmarkStart w:id="137" w:name="_Toc18189"/>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四十七</w:t>
      </w:r>
      <w:r>
        <w:rPr>
          <w:rFonts w:ascii="Times New Roman" w:hAnsi="Times New Roman" w:eastAsia="仿宋" w:cs="Times New Roman"/>
          <w:b/>
          <w:bCs/>
          <w:sz w:val="32"/>
          <w:szCs w:val="32"/>
        </w:rPr>
        <w:t>）白城市洮北区</w:t>
      </w:r>
      <w:bookmarkEnd w:id="124"/>
      <w:r>
        <w:rPr>
          <w:rFonts w:ascii="Times New Roman" w:hAnsi="Times New Roman" w:eastAsia="仿宋" w:cs="Times New Roman"/>
          <w:b/>
          <w:bCs/>
          <w:sz w:val="32"/>
          <w:szCs w:val="32"/>
        </w:rPr>
        <w:t>生态环境准入清单</w:t>
      </w:r>
      <w:bookmarkEnd w:id="137"/>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表4-55-1 白城市洮北区区域特征研判</w:t>
      </w:r>
    </w:p>
    <w:tbl>
      <w:tblPr>
        <w:tblStyle w:val="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6843"/>
        <w:gridCol w:w="4944"/>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6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754" w:type="dxa"/>
            <w:tcBorders>
              <w:top w:val="single" w:color="auto" w:sz="4" w:space="0"/>
              <w:left w:val="single" w:color="auto" w:sz="4" w:space="0"/>
              <w:bottom w:val="single" w:color="auto" w:sz="4" w:space="0"/>
              <w:right w:val="single" w:color="auto" w:sz="4" w:space="0"/>
            </w:tcBorders>
            <w:vAlign w:val="center"/>
          </w:tcPr>
          <w:p>
            <w:pPr>
              <w:tabs>
                <w:tab w:val="left" w:pos="4707"/>
              </w:tabs>
              <w:rPr>
                <w:rFonts w:ascii="Times New Roman" w:hAnsi="Times New Roman" w:eastAsia="仿宋" w:cs="Times New Roman"/>
                <w:kern w:val="0"/>
                <w:szCs w:val="21"/>
              </w:rPr>
            </w:pPr>
            <w:r>
              <w:rPr>
                <w:rFonts w:ascii="Times New Roman" w:hAnsi="Times New Roman" w:eastAsia="仿宋" w:cs="Times New Roman"/>
                <w:kern w:val="0"/>
                <w:szCs w:val="21"/>
              </w:rPr>
              <w:t>1. 《吉林省主体功能区规划》中的农产品主产区。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位于吉林省西北部，白城市中部总面积2578.34平方公里。辖7个镇5个乡3个农场。</w:t>
            </w:r>
          </w:p>
        </w:tc>
        <w:tc>
          <w:tcPr>
            <w:tcW w:w="684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以绿色科技创新为依托，积极调整农业产业结构，生产无公害、无污染的绿色农产品。重点扶持发展绿色玉米、绿色杂粮杂豆、绿色水稻、绿色瓜果蔬菜、绿色畜牧产品为主导的特色产业，积极开发地方名优产品。</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2.发挥好交通沿线特色镇的经济节点和产业传导功能，推动主导产业发展和基础设施建设，形成经济实力强、特色鲜明、区域代表性强的特色小城镇，成为农村城镇化进程的主要载体。</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3.积极构建具有白城特色的、比较优势明显的高载能高技术体系，加快建设“双谷双基地”，即：中国北方氢谷、中国北方云谷、吉林白城新能源产业示范基地、吉林白城高载能产业绿色发展基地。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4.结合政策优势、交通优势、土地资源优势、产业基础优势、能源优势和后发优势，重点发展机械加工与配套、清洁能源消纳、生物医药、新型材料、农副产品精深加工和现代服务业等六大主导产业。</w:t>
            </w:r>
          </w:p>
        </w:tc>
        <w:tc>
          <w:tcPr>
            <w:tcW w:w="49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color w:val="FF0000"/>
                <w:kern w:val="0"/>
                <w:szCs w:val="21"/>
              </w:rPr>
            </w:pPr>
            <w:r>
              <w:rPr>
                <w:rFonts w:ascii="Times New Roman" w:hAnsi="Times New Roman" w:eastAsia="仿宋" w:cs="Times New Roman"/>
                <w:bCs/>
                <w:kern w:val="0"/>
                <w:szCs w:val="21"/>
              </w:rPr>
              <w:t>草场退化、沙化。</w:t>
            </w:r>
          </w:p>
        </w:tc>
        <w:tc>
          <w:tcPr>
            <w:tcW w:w="460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1.重点保护：吉林白城原上湖省级湿地公园、国家级公益林</w:t>
            </w:r>
            <w:r>
              <w:rPr>
                <w:rFonts w:hint="eastAsia" w:ascii="Times New Roman" w:hAnsi="Times New Roman" w:eastAsia="仿宋" w:cs="Times New Roman"/>
                <w:bCs/>
                <w:kern w:val="0"/>
                <w:szCs w:val="21"/>
              </w:rPr>
              <w:t>。</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color w:val="FF0000"/>
                <w:kern w:val="0"/>
                <w:szCs w:val="21"/>
              </w:rPr>
            </w:pPr>
            <w:r>
              <w:rPr>
                <w:rFonts w:ascii="Times New Roman" w:hAnsi="Times New Roman" w:eastAsia="仿宋" w:cs="Times New Roman"/>
                <w:bCs/>
                <w:kern w:val="0"/>
                <w:szCs w:val="21"/>
              </w:rPr>
              <w:t>（1）加强草原、沙地、盐碱地的修复和保护。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表4-55-2 白城市洮北区生态环境准入清单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2470"/>
        <w:gridCol w:w="1616"/>
        <w:gridCol w:w="1756"/>
        <w:gridCol w:w="9201"/>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84"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2" w:type="pct"/>
            <w:shd w:val="clear" w:color="auto" w:fill="auto"/>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5" w:type="pct"/>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75" w:type="pct"/>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93" w:type="pct"/>
            <w:shd w:val="clear" w:color="auto" w:fill="auto"/>
            <w:vAlign w:val="center"/>
          </w:tcPr>
          <w:p>
            <w:pPr>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ZH22080210001</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吉林白城原上湖省级湿地公园</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2生态保护红线内湿地公园执行《中华人民共和国湿地保护法》《湿地保护管理规定》</w:t>
            </w:r>
            <w:r>
              <w:rPr>
                <w:rFonts w:hint="eastAsia" w:ascii="Times New Roman" w:hAnsi="Times New Roman" w:eastAsia="仿宋" w:cs="Times New Roman"/>
                <w:sz w:val="20"/>
                <w:szCs w:val="20"/>
              </w:rPr>
              <w:t>《国家级自然公园管理办法（试行）》</w:t>
            </w:r>
            <w:r>
              <w:rPr>
                <w:rFonts w:ascii="Times New Roman" w:hAnsi="Times New Roman" w:eastAsia="仿宋" w:cs="Times New Roman"/>
                <w:sz w:val="20"/>
                <w:szCs w:val="20"/>
              </w:rPr>
              <w:t>《吉林省湿地保护条例》《关于特别是作为水禽栖息地的国际重要湿地公约》相关要求。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3生态保护红线内水产种质资源保护区执行《水产种质资源保护区管理办法》相关要求。</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生态保护红线、水环境优先保护区</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湿地公园、水产种质资源保护区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ZH22080210002</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洮北区国家级公益林</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1原则上按禁止开发区域的要求进行管理，执行</w:t>
            </w:r>
            <w:r>
              <w:rPr>
                <w:rFonts w:hint="eastAsia" w:ascii="Times New Roman" w:hAnsi="Times New Roman" w:eastAsia="仿宋" w:cs="Times New Roman"/>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0"/>
              </w:rPr>
              <w:t>中相关要求。</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生态保护红线</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ZH22080210003</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洮北区国家级公益林</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2国家级公益林执行</w:t>
            </w:r>
            <w:r>
              <w:rPr>
                <w:rFonts w:hint="eastAsia" w:ascii="Times New Roman" w:hAnsi="Times New Roman" w:eastAsia="仿宋" w:cs="Times New Roman"/>
                <w:sz w:val="20"/>
                <w:szCs w:val="20"/>
              </w:rPr>
              <w:t>《国家级公益林管理办法》（2017年修订）</w:t>
            </w:r>
            <w:r>
              <w:rPr>
                <w:rFonts w:ascii="Times New Roman" w:hAnsi="Times New Roman" w:eastAsia="仿宋" w:cs="Times New Roman"/>
                <w:sz w:val="20"/>
                <w:szCs w:val="20"/>
              </w:rPr>
              <w:t>相关要求。</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ZH22080210004</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洮北区防风固沙重要区</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2禁止发展高耗水工业。</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6</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7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防风固沙、盐渍化、水土流失、土地沙化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ZH22080210005</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洮北区水源涵养功能重要区</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rPr>
                <w:rFonts w:ascii="Times New Roman" w:hAnsi="Times New Roman" w:eastAsia="仿宋" w:cs="Times New Roman"/>
                <w:sz w:val="20"/>
                <w:szCs w:val="20"/>
              </w:rPr>
            </w:pPr>
            <w:r>
              <w:rPr>
                <w:rFonts w:ascii="Times New Roman" w:hAnsi="Times New Roman" w:eastAsia="仿宋" w:cs="Times New Roman"/>
                <w:sz w:val="20"/>
                <w:szCs w:val="20"/>
              </w:rPr>
              <w:t>2禁止各种损害生态系统水源涵养功能的经济社会活动和生产方式，如无序采矿、毁林开荒、湿地和草地开垦、过度放牧等。</w:t>
            </w:r>
          </w:p>
          <w:p>
            <w:pPr>
              <w:rPr>
                <w:rFonts w:ascii="Times New Roman" w:hAnsi="Times New Roman" w:eastAsia="仿宋" w:cs="Times New Roman"/>
                <w:sz w:val="20"/>
                <w:szCs w:val="20"/>
              </w:rPr>
            </w:pPr>
            <w:r>
              <w:rPr>
                <w:rFonts w:ascii="Times New Roman" w:hAnsi="Times New Roman" w:eastAsia="仿宋" w:cs="Times New Roman"/>
                <w:sz w:val="20"/>
                <w:szCs w:val="20"/>
              </w:rPr>
              <w:t>3禁止导致水体污染的产业发展。</w:t>
            </w:r>
          </w:p>
          <w:p>
            <w:pPr>
              <w:rPr>
                <w:rFonts w:ascii="Times New Roman" w:hAnsi="Times New Roman" w:eastAsia="仿宋" w:cs="Times New Roman"/>
                <w:sz w:val="20"/>
                <w:szCs w:val="20"/>
              </w:rPr>
            </w:pPr>
            <w:r>
              <w:rPr>
                <w:rFonts w:ascii="Times New Roman" w:hAnsi="Times New Roman" w:eastAsia="仿宋" w:cs="Times New Roman"/>
                <w:sz w:val="20"/>
                <w:szCs w:val="20"/>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0"/>
              </w:rPr>
            </w:pPr>
            <w:r>
              <w:rPr>
                <w:rFonts w:ascii="Times New Roman" w:hAnsi="Times New Roman" w:eastAsia="仿宋" w:cs="Times New Roman"/>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6</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水源涵养、防风固沙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ZH22080210006</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洮北区生物多样性重要区</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禁止滥捕、乱采、乱猎等行为，加强外来入侵物种管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ZH22080210007</w:t>
            </w:r>
          </w:p>
        </w:tc>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洮北区土地沙化敏感区</w:t>
            </w:r>
          </w:p>
        </w:tc>
        <w:tc>
          <w:tcPr>
            <w:tcW w:w="382" w:type="pct"/>
            <w:tcBorders>
              <w:top w:val="single" w:color="auto" w:sz="4" w:space="0"/>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93" w:type="pc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一般生态空间</w:t>
            </w:r>
          </w:p>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sz w:val="20"/>
                <w:szCs w:val="20"/>
              </w:rPr>
              <w:t>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ZH22080220001</w:t>
            </w:r>
          </w:p>
        </w:tc>
        <w:tc>
          <w:tcPr>
            <w:tcW w:w="584" w:type="pct"/>
            <w:vMerge w:val="restart"/>
            <w:tcBorders>
              <w:top w:val="single" w:color="auto" w:sz="4" w:space="0"/>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吉林白城经济开发区</w:t>
            </w:r>
          </w:p>
        </w:tc>
        <w:tc>
          <w:tcPr>
            <w:tcW w:w="382" w:type="pct"/>
            <w:vMerge w:val="restart"/>
            <w:tcBorders>
              <w:top w:val="single" w:color="auto" w:sz="4" w:space="0"/>
              <w:left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93" w:type="pct"/>
            <w:vMerge w:val="restart"/>
            <w:shd w:val="clear" w:color="auto" w:fill="auto"/>
            <w:vAlign w:val="center"/>
          </w:tcPr>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w:t>
            </w:r>
          </w:p>
          <w:p>
            <w:pPr>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汽车零部件、医药（主要发展中药和生物制药，不包括化学药品原料药制造）、商贸物流</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园区规划环评、《企业事业单位突发环境事件应急预案备案管理办法（试行）》《吉林省“十四五”节能减排综合实施方案》、白城市发布的高污染燃料禁燃区管理规定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584"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2"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sz w:val="20"/>
                <w:szCs w:val="20"/>
              </w:rPr>
              <w:tab/>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4尽快完善区内污水管网建设、督促区内企业加快废水预处理设施建设。管网建成前，严格限制该区域建设新增水污染物排放的项目。</w:t>
            </w:r>
          </w:p>
        </w:tc>
        <w:tc>
          <w:tcPr>
            <w:tcW w:w="993" w:type="pct"/>
            <w:vMerge w:val="continue"/>
            <w:shd w:val="clear" w:color="auto" w:fill="auto"/>
            <w:vAlign w:val="center"/>
          </w:tcPr>
          <w:p>
            <w:pPr>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584" w:type="pct"/>
            <w:vMerge w:val="continue"/>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2" w:type="pct"/>
            <w:vMerge w:val="continue"/>
            <w:tcBorders>
              <w:left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auto"/>
            <w:vAlign w:val="center"/>
          </w:tcPr>
          <w:p>
            <w:pPr>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584"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szCs w:val="20"/>
              </w:rPr>
            </w:pPr>
          </w:p>
        </w:tc>
        <w:tc>
          <w:tcPr>
            <w:tcW w:w="382" w:type="pct"/>
            <w:vMerge w:val="continue"/>
            <w:tcBorders>
              <w:left w:val="single" w:color="auto" w:sz="4" w:space="0"/>
              <w:bottom w:val="single" w:color="auto" w:sz="4" w:space="0"/>
              <w:right w:val="nil"/>
            </w:tcBorders>
            <w:shd w:val="clear" w:color="auto" w:fill="auto"/>
            <w:vAlign w:val="center"/>
          </w:tcPr>
          <w:p>
            <w:pPr>
              <w:widowControl/>
              <w:jc w:val="left"/>
              <w:rPr>
                <w:rFonts w:ascii="Times New Roman" w:hAnsi="Times New Roman" w:eastAsia="仿宋" w:cs="Times New Roman"/>
                <w:sz w:val="20"/>
                <w:szCs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1促进再生水的利用。加强工业节水及循环利用、促进城镇节水、加大农业节水力度；在优先保障生活取水和生态用水的前提下，严格按照用水总量控制红线，控制工业和农业生产取水量。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3完成吉林省下达的产能置换要求。各产业执行对应的清洁生产标准。</w:t>
            </w:r>
          </w:p>
        </w:tc>
        <w:tc>
          <w:tcPr>
            <w:tcW w:w="993" w:type="pct"/>
            <w:vMerge w:val="continue"/>
            <w:shd w:val="clear" w:color="auto" w:fill="auto"/>
            <w:vAlign w:val="center"/>
          </w:tcPr>
          <w:p>
            <w:pPr>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ZH22080220002</w:t>
            </w:r>
          </w:p>
        </w:tc>
        <w:tc>
          <w:tcPr>
            <w:tcW w:w="584"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白城洮北经济开发区</w:t>
            </w:r>
          </w:p>
        </w:tc>
        <w:tc>
          <w:tcPr>
            <w:tcW w:w="382" w:type="pct"/>
            <w:vMerge w:val="restart"/>
            <w:tcBorders>
              <w:top w:val="single" w:color="auto" w:sz="4" w:space="0"/>
              <w:left w:val="nil"/>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止入区的项目主要是《产业结构调整指导目录》中限制类和淘汰类项目，不符合开发区产业发展方向，能耗、物耗较大，污染较重的项目。尤其是对水环境污染严重的项目，或是耗水量较大且不能有效回收再利用的项目，开发区应坚决禁止其入区。</w:t>
            </w:r>
          </w:p>
        </w:tc>
        <w:tc>
          <w:tcPr>
            <w:tcW w:w="993" w:type="pct"/>
            <w:vMerge w:val="restar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rPr>
                <w:rFonts w:ascii="Times New Roman" w:hAnsi="Times New Roman" w:eastAsia="仿宋" w:cs="Times New Roman"/>
                <w:b/>
                <w:kern w:val="0"/>
                <w:sz w:val="20"/>
                <w:szCs w:val="20"/>
              </w:rPr>
            </w:pPr>
            <w:r>
              <w:rPr>
                <w:rFonts w:ascii="Times New Roman" w:hAnsi="Times New Roman" w:eastAsia="仿宋" w:cs="Times New Roman"/>
                <w:b/>
                <w:bCs/>
                <w:sz w:val="20"/>
                <w:szCs w:val="20"/>
              </w:rPr>
              <w:t>功能定位：</w:t>
            </w:r>
            <w:r>
              <w:rPr>
                <w:rFonts w:ascii="Times New Roman" w:hAnsi="Times New Roman" w:eastAsia="仿宋" w:cs="Times New Roman"/>
                <w:sz w:val="20"/>
                <w:szCs w:val="20"/>
              </w:rPr>
              <w:t>南企业北移的承接区、工业项目的集聚区、资源转移的辐射区、招商引资的带动区、工业兴区的支撑区、商饮文化的新兴区、体制创新的服务区等多功能综合性经济区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装备制造、农产品加工、医药、材料制造</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sz w:val="20"/>
                <w:szCs w:val="20"/>
              </w:rPr>
              <w:tab/>
            </w:r>
          </w:p>
        </w:tc>
        <w:tc>
          <w:tcPr>
            <w:tcW w:w="993" w:type="pct"/>
            <w:vMerge w:val="continue"/>
            <w:shd w:val="clear" w:color="auto" w:fill="auto"/>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bottom w:val="single" w:color="auto" w:sz="4" w:space="0"/>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1促进再生水的利用。加强工业节水及循环利用、促进城镇节水、加大农业节水力度；在优先保障生活取水和生态用水的前提下，严格按照用水总量控制红线，控制工业和农业生产取水量。</w:t>
            </w:r>
          </w:p>
          <w:p>
            <w:pPr>
              <w:rPr>
                <w:rFonts w:ascii="Times New Roman" w:hAnsi="Times New Roman" w:eastAsia="仿宋" w:cs="Times New Roman"/>
                <w:szCs w:val="21"/>
              </w:rPr>
            </w:pPr>
            <w:r>
              <w:rPr>
                <w:rFonts w:ascii="Times New Roman" w:hAnsi="Times New Roman" w:eastAsia="仿宋" w:cs="Times New Roman"/>
                <w:sz w:val="20"/>
                <w:szCs w:val="20"/>
              </w:rPr>
              <w:t>2完成吉林省下达的产能置换要求。各产业执行对应的清洁生产标准。</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ZH22080220003</w:t>
            </w:r>
          </w:p>
        </w:tc>
        <w:tc>
          <w:tcPr>
            <w:tcW w:w="584"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吉林白城工业园区</w:t>
            </w:r>
          </w:p>
        </w:tc>
        <w:tc>
          <w:tcPr>
            <w:tcW w:w="382" w:type="pct"/>
            <w:vMerge w:val="restart"/>
            <w:tcBorders>
              <w:top w:val="single" w:color="auto" w:sz="4" w:space="0"/>
              <w:left w:val="nil"/>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严格按照国家产业政策要求，限制排放重金属、难降解有机污染物的项目入区。确有必要建设的重点项目或已落户园区的既有项目，要符合相关法律、法规、环境政策和产业政策的规定，并严格执行环境影响评价、跟踪监测等制度，保证项目建设满足开发区资源环境承载力、不会造成重大不良环境影响，且须提出切实可行的预防或减轻对策与措施。</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3严格控制废水排放量大、废水污染物浓度高的企业入区。</w:t>
            </w:r>
          </w:p>
        </w:tc>
        <w:tc>
          <w:tcPr>
            <w:tcW w:w="993" w:type="pct"/>
            <w:vMerge w:val="restar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以农产品加工业为龙头，以冶金、化工、装备制造、建材产业为主体，建设集生产、办公、科研、金融、商服配套、现代物流及仓储为一体的新型工业园区。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农产品加工业；化工、冶金建材业；装备制造业；汽车及零部件加工业；仓储、物流。</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园区规划环评、化工园区规划环评、《企业事业单位突发环境事件应急预案备案管理办法（试行）》《吉林省“十四五”节能减排综合实施方案》《吉林省新污染物治理实施方案》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sz w:val="20"/>
              </w:rPr>
            </w:pPr>
            <w:r>
              <w:rPr>
                <w:rFonts w:ascii="Times New Roman" w:hAnsi="Times New Roman" w:eastAsia="仿宋" w:cs="Times New Roman"/>
                <w:sz w:val="20"/>
              </w:rPr>
              <w:t>、</w:t>
            </w: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sz w:val="20"/>
              </w:rPr>
            </w:pP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93" w:type="pct"/>
            <w:vMerge w:val="continue"/>
            <w:shd w:val="clear" w:color="auto" w:fill="auto"/>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4严格落实规划环评及其批复文件制定的环境风险防范措施。</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3促进再生水的利用。加强工业节水及循环利用、促进城镇节水、加大农业节水力度；在优先保障生活取水和生态用水的前提下，严格按照用水总量控制红线，控制工业和农业生产取水量。</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ZH22080220004</w:t>
            </w:r>
          </w:p>
        </w:tc>
        <w:tc>
          <w:tcPr>
            <w:tcW w:w="584" w:type="pct"/>
            <w:vMerge w:val="restart"/>
            <w:tcBorders>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白城绿电产业示范园区</w:t>
            </w:r>
          </w:p>
        </w:tc>
        <w:tc>
          <w:tcPr>
            <w:tcW w:w="382" w:type="pct"/>
            <w:vMerge w:val="restart"/>
            <w:tcBorders>
              <w:left w:val="nil"/>
              <w:right w:val="nil"/>
            </w:tcBorders>
            <w:shd w:val="clear" w:color="auto" w:fill="auto"/>
            <w:vAlign w:val="center"/>
          </w:tcPr>
          <w:p>
            <w:pPr>
              <w:widowControl/>
              <w:jc w:val="center"/>
              <w:rPr>
                <w:rFonts w:ascii="Times New Roman" w:hAnsi="Times New Roman" w:eastAsia="仿宋" w:cs="Times New Roman"/>
                <w:sz w:val="20"/>
              </w:rPr>
            </w:pPr>
            <w:r>
              <w:rPr>
                <w:rFonts w:ascii="Times New Roman" w:hAnsi="Times New Roman" w:eastAsia="仿宋" w:cs="Times New Roman"/>
                <w:sz w:val="20"/>
              </w:rPr>
              <w:t>2-重点管控</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止入区的项目主要是《产业结构调整指导目录》中限制类和淘汰类项目，不符合开发区产业发展方向，能耗、物耗较大，污染较重的项目。尤其是对水环境污染严重的项目，或是耗水量较大且不能有效回收再利用的项目，开发区应坚决禁止其入区。</w:t>
            </w:r>
          </w:p>
        </w:tc>
        <w:tc>
          <w:tcPr>
            <w:tcW w:w="993" w:type="pct"/>
            <w:vMerge w:val="restar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氢能绿电，新材料、装备制造、食品及医药健康、冶金、配套服务等。</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规划环评、《企业事业单位突发环境事件应急预案备案管理办法（试行）》《吉林省“十四五”节能减排综合实施方案》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bottom w:val="single" w:color="auto" w:sz="4" w:space="0"/>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2完成吉林省下达的产能置换要求。各产业执行对应的清洁生产标准。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3促进再生水的利用。加强工业节水及循环利用、促进城镇节水、加大农业节水力度；在优先保障生活取水和生态用水的前提下，严格按照用水总量控制红线，控制工业和农业生产取水量。</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ZH22080220005</w:t>
            </w:r>
          </w:p>
        </w:tc>
        <w:tc>
          <w:tcPr>
            <w:tcW w:w="584" w:type="pct"/>
            <w:vMerge w:val="restart"/>
            <w:tcBorders>
              <w:top w:val="single" w:color="auto" w:sz="4" w:space="0"/>
              <w:left w:val="single" w:color="auto" w:sz="4" w:space="0"/>
              <w:right w:val="single" w:color="auto" w:sz="4" w:space="0"/>
            </w:tcBorders>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rPr>
              <w:t>洮北区城镇开发边界</w:t>
            </w:r>
          </w:p>
        </w:tc>
        <w:tc>
          <w:tcPr>
            <w:tcW w:w="382" w:type="pct"/>
            <w:vMerge w:val="restart"/>
            <w:tcBorders>
              <w:top w:val="single" w:color="auto" w:sz="4" w:space="0"/>
              <w:left w:val="nil"/>
              <w:right w:val="nil"/>
            </w:tcBorders>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rPr>
              <w:t>2-重点管控</w:t>
            </w:r>
          </w:p>
        </w:tc>
        <w:tc>
          <w:tcPr>
            <w:tcW w:w="415"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2除在安全或者产业布局等方面有特殊要求的项目外，应避免大规模排放水污染物的项目布局建设。</w:t>
            </w:r>
          </w:p>
        </w:tc>
        <w:tc>
          <w:tcPr>
            <w:tcW w:w="993" w:type="pct"/>
            <w:vMerge w:val="restar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大气环境受体敏感重点管控区、水环境城镇生活污染重点管控区、建设用地污染风险重点管控区、高污染燃料禁燃区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《关于开展畜禽养殖禁养区划定工作的通知》《畜禽规模养殖污染防治条例》《吉林省减污降碳协同增效实施方案》《中共吉林省委 吉林省人民政府关于深入打好污染防治攻坚战的实施意见》《吉林省生态环境保护“十四五”规划》、白城市高污染燃料禁燃区管理规定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75"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bottom w:val="single" w:color="auto" w:sz="4" w:space="0"/>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白城市区建设高污染燃料禁燃区实施方案》执行；禁燃区内禁止燃烧高污染燃料（集中供热、电厂锅炉除外）；禁止新建、扩建、改建使用高污染燃料的项目（集中供热、电厂锅炉除外）；禁燃区内严禁从事露天烧烤；严禁焚烧杂草、落叶、生活垃圾等可燃物质。</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tcBorders>
              <w:left w:val="single" w:color="auto" w:sz="4" w:space="0"/>
              <w:right w:val="single" w:color="auto" w:sz="4" w:space="0"/>
            </w:tcBorders>
            <w:shd w:val="clear" w:color="auto" w:fill="auto"/>
            <w:vAlign w:val="center"/>
          </w:tcPr>
          <w:p>
            <w:pPr>
              <w:widowControl/>
              <w:rPr>
                <w:rFonts w:ascii="Times New Roman" w:hAnsi="Times New Roman" w:eastAsia="仿宋" w:cs="Times New Roman"/>
                <w:sz w:val="20"/>
              </w:rPr>
            </w:pPr>
            <w:r>
              <w:rPr>
                <w:rFonts w:ascii="Times New Roman" w:hAnsi="Times New Roman" w:eastAsia="仿宋" w:cs="Times New Roman"/>
                <w:sz w:val="20"/>
              </w:rPr>
              <w:t>ZH22080220006</w:t>
            </w:r>
          </w:p>
        </w:tc>
        <w:tc>
          <w:tcPr>
            <w:tcW w:w="584" w:type="pct"/>
            <w:vMerge w:val="restart"/>
            <w:tcBorders>
              <w:left w:val="single" w:color="auto" w:sz="4" w:space="0"/>
              <w:right w:val="single" w:color="auto" w:sz="4" w:space="0"/>
            </w:tcBorders>
            <w:shd w:val="clear" w:color="auto" w:fill="auto"/>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洮北区大气环境高排放重点管控区</w:t>
            </w:r>
          </w:p>
        </w:tc>
        <w:tc>
          <w:tcPr>
            <w:tcW w:w="382" w:type="pct"/>
            <w:vMerge w:val="restart"/>
            <w:tcBorders>
              <w:left w:val="nil"/>
              <w:right w:val="nil"/>
            </w:tcBorders>
            <w:shd w:val="clear" w:color="auto" w:fill="auto"/>
            <w:vAlign w:val="center"/>
          </w:tcPr>
          <w:p>
            <w:pPr>
              <w:widowControl/>
              <w:jc w:val="center"/>
              <w:rPr>
                <w:rFonts w:ascii="Times New Roman" w:hAnsi="Times New Roman" w:eastAsia="仿宋" w:cs="Times New Roman"/>
                <w:sz w:val="20"/>
              </w:rPr>
            </w:pPr>
            <w:r>
              <w:rPr>
                <w:rFonts w:ascii="Times New Roman" w:hAnsi="Times New Roman" w:eastAsia="仿宋" w:cs="Times New Roman"/>
                <w:sz w:val="20"/>
              </w:rPr>
              <w:t>2-重点管控</w:t>
            </w:r>
          </w:p>
        </w:tc>
        <w:tc>
          <w:tcPr>
            <w:tcW w:w="41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93" w:type="pct"/>
            <w:vMerge w:val="restar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基于“三线”研究成果提出，结合《吉林省减污降碳协同增效实施方案》《污染地块土壤环境管理办法（试行）》《工矿用地土壤环境管理办法（试行）》《中共吉林省委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584" w:type="pct"/>
            <w:vMerge w:val="continue"/>
            <w:tcBorders>
              <w:left w:val="single" w:color="auto" w:sz="4" w:space="0"/>
              <w:bottom w:val="single" w:color="auto" w:sz="4" w:space="0"/>
              <w:right w:val="single" w:color="auto" w:sz="4" w:space="0"/>
            </w:tcBorders>
            <w:shd w:val="clear" w:color="auto" w:fill="auto"/>
            <w:vAlign w:val="center"/>
          </w:tcPr>
          <w:p>
            <w:pPr>
              <w:rPr>
                <w:rFonts w:ascii="Times New Roman" w:hAnsi="Times New Roman" w:eastAsia="仿宋" w:cs="Times New Roman"/>
                <w:color w:val="FF0000"/>
                <w:sz w:val="20"/>
              </w:rPr>
            </w:pPr>
          </w:p>
        </w:tc>
        <w:tc>
          <w:tcPr>
            <w:tcW w:w="382" w:type="pct"/>
            <w:vMerge w:val="continue"/>
            <w:tcBorders>
              <w:left w:val="nil"/>
              <w:bottom w:val="single" w:color="auto" w:sz="4" w:space="0"/>
              <w:right w:val="nil"/>
            </w:tcBorders>
            <w:shd w:val="clear" w:color="auto" w:fill="auto"/>
            <w:vAlign w:val="center"/>
          </w:tcPr>
          <w:p>
            <w:pPr>
              <w:widowControl/>
              <w:jc w:val="center"/>
              <w:rPr>
                <w:rFonts w:ascii="Times New Roman" w:hAnsi="Times New Roman" w:eastAsia="仿宋" w:cs="Times New Roman"/>
                <w:color w:val="FF0000"/>
                <w:sz w:val="20"/>
              </w:rPr>
            </w:pPr>
          </w:p>
        </w:tc>
        <w:tc>
          <w:tcPr>
            <w:tcW w:w="415"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93" w:type="pct"/>
            <w:vMerge w:val="continue"/>
            <w:shd w:val="clear" w:color="auto" w:fill="auto"/>
            <w:vAlign w:val="center"/>
          </w:tcPr>
          <w:p>
            <w:pPr>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ZH22080220007</w:t>
            </w:r>
          </w:p>
        </w:tc>
        <w:tc>
          <w:tcPr>
            <w:tcW w:w="58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洮北区大气环境布局敏感重点管控区</w:t>
            </w:r>
          </w:p>
        </w:tc>
        <w:tc>
          <w:tcPr>
            <w:tcW w:w="382" w:type="pct"/>
            <w:vMerge w:val="restart"/>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93" w:type="pct"/>
            <w:vMerge w:val="restart"/>
            <w:shd w:val="clear" w:color="auto" w:fill="auto"/>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w:t>
            </w:r>
          </w:p>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shd w:val="clear" w:color="auto" w:fill="auto"/>
            <w:vAlign w:val="center"/>
          </w:tcPr>
          <w:p>
            <w:pPr>
              <w:rPr>
                <w:rFonts w:ascii="Times New Roman" w:hAnsi="Times New Roman" w:eastAsia="仿宋" w:cs="Times New Roman"/>
                <w:color w:val="FF0000"/>
                <w:sz w:val="20"/>
                <w:szCs w:val="20"/>
              </w:rPr>
            </w:pPr>
          </w:p>
        </w:tc>
        <w:tc>
          <w:tcPr>
            <w:tcW w:w="584" w:type="pct"/>
            <w:vMerge w:val="continue"/>
            <w:shd w:val="clear" w:color="auto" w:fill="auto"/>
            <w:vAlign w:val="center"/>
          </w:tcPr>
          <w:p>
            <w:pPr>
              <w:rPr>
                <w:rFonts w:ascii="Times New Roman" w:hAnsi="Times New Roman" w:eastAsia="仿宋" w:cs="Times New Roman"/>
                <w:color w:val="FF0000"/>
                <w:sz w:val="20"/>
                <w:szCs w:val="20"/>
              </w:rPr>
            </w:pPr>
          </w:p>
        </w:tc>
        <w:tc>
          <w:tcPr>
            <w:tcW w:w="382" w:type="pct"/>
            <w:vMerge w:val="continue"/>
            <w:shd w:val="clear" w:color="auto" w:fill="auto"/>
            <w:vAlign w:val="center"/>
          </w:tcPr>
          <w:p>
            <w:pPr>
              <w:widowControl/>
              <w:jc w:val="center"/>
              <w:rPr>
                <w:rFonts w:ascii="Times New Roman" w:hAnsi="Times New Roman" w:eastAsia="仿宋" w:cs="Times New Roman"/>
                <w:color w:val="FF0000"/>
                <w:sz w:val="20"/>
                <w:szCs w:val="20"/>
              </w:rPr>
            </w:pP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93" w:type="pct"/>
            <w:vMerge w:val="continue"/>
            <w:shd w:val="clear" w:color="auto" w:fill="auto"/>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vMerge w:val="continue"/>
            <w:shd w:val="clear" w:color="auto" w:fill="auto"/>
            <w:vAlign w:val="center"/>
          </w:tcPr>
          <w:p>
            <w:pPr>
              <w:rPr>
                <w:rFonts w:ascii="Times New Roman" w:hAnsi="Times New Roman" w:eastAsia="仿宋" w:cs="Times New Roman"/>
                <w:color w:val="FF0000"/>
                <w:sz w:val="20"/>
                <w:szCs w:val="20"/>
              </w:rPr>
            </w:pPr>
          </w:p>
        </w:tc>
        <w:tc>
          <w:tcPr>
            <w:tcW w:w="584" w:type="pct"/>
            <w:vMerge w:val="continue"/>
            <w:shd w:val="clear" w:color="auto" w:fill="auto"/>
            <w:vAlign w:val="center"/>
          </w:tcPr>
          <w:p>
            <w:pPr>
              <w:rPr>
                <w:rFonts w:ascii="Times New Roman" w:hAnsi="Times New Roman" w:eastAsia="仿宋" w:cs="Times New Roman"/>
                <w:color w:val="FF0000"/>
                <w:sz w:val="20"/>
                <w:szCs w:val="20"/>
              </w:rPr>
            </w:pPr>
          </w:p>
        </w:tc>
        <w:tc>
          <w:tcPr>
            <w:tcW w:w="382" w:type="pct"/>
            <w:vMerge w:val="continue"/>
            <w:shd w:val="clear" w:color="auto" w:fill="auto"/>
            <w:vAlign w:val="center"/>
          </w:tcPr>
          <w:p>
            <w:pPr>
              <w:widowControl/>
              <w:jc w:val="center"/>
              <w:rPr>
                <w:rFonts w:ascii="Times New Roman" w:hAnsi="Times New Roman" w:eastAsia="仿宋" w:cs="Times New Roman"/>
                <w:color w:val="FF0000"/>
                <w:sz w:val="20"/>
                <w:szCs w:val="20"/>
              </w:rPr>
            </w:pP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auto"/>
            <w:vAlign w:val="center"/>
          </w:tcPr>
          <w:p>
            <w:pPr>
              <w:jc w:val="left"/>
              <w:rPr>
                <w:rFonts w:ascii="Times New Roman" w:hAnsi="Times New Roman" w:eastAsia="仿宋" w:cs="Times New Roman"/>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9"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ZH22080220008</w:t>
            </w:r>
          </w:p>
        </w:tc>
        <w:tc>
          <w:tcPr>
            <w:tcW w:w="584" w:type="pct"/>
            <w:vMerge w:val="restar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洮北区建设用地污染风险重点管控区</w:t>
            </w:r>
          </w:p>
        </w:tc>
        <w:tc>
          <w:tcPr>
            <w:tcW w:w="382" w:type="pct"/>
            <w:vMerge w:val="restart"/>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1"/>
              </w:rPr>
              <w:t>2-重点管控</w:t>
            </w:r>
          </w:p>
        </w:tc>
        <w:tc>
          <w:tcPr>
            <w:tcW w:w="41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93" w:type="pct"/>
            <w:vMerge w:val="restart"/>
            <w:shd w:val="clear" w:color="auto" w:fill="auto"/>
            <w:vAlign w:val="center"/>
          </w:tcPr>
          <w:p>
            <w:pPr>
              <w:widowControl/>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建设用地污染风险重点管控区</w:t>
            </w:r>
          </w:p>
          <w:p>
            <w:pPr>
              <w:jc w:val="left"/>
              <w:rPr>
                <w:rFonts w:ascii="Times New Roman" w:hAnsi="Times New Roman" w:eastAsia="仿宋" w:cs="Times New Roman"/>
                <w:b/>
                <w:bCs/>
                <w:sz w:val="20"/>
                <w:szCs w:val="20"/>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《污染地块土壤环境管理办法（试行）》《工矿用地土壤环境管理办法（试行）》《吉林省生态环境保护“十四五”规划》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9" w:type="pct"/>
            <w:vMerge w:val="continue"/>
            <w:shd w:val="clear" w:color="auto" w:fill="auto"/>
            <w:vAlign w:val="center"/>
          </w:tcPr>
          <w:p>
            <w:pPr>
              <w:rPr>
                <w:rFonts w:ascii="Times New Roman" w:hAnsi="Times New Roman" w:eastAsia="仿宋" w:cs="Times New Roman"/>
                <w:color w:val="FF0000"/>
                <w:sz w:val="20"/>
                <w:szCs w:val="20"/>
              </w:rPr>
            </w:pPr>
          </w:p>
        </w:tc>
        <w:tc>
          <w:tcPr>
            <w:tcW w:w="584" w:type="pct"/>
            <w:vMerge w:val="continue"/>
            <w:shd w:val="clear" w:color="auto" w:fill="auto"/>
            <w:vAlign w:val="center"/>
          </w:tcPr>
          <w:p>
            <w:pPr>
              <w:rPr>
                <w:rFonts w:ascii="Times New Roman" w:hAnsi="Times New Roman" w:eastAsia="仿宋" w:cs="Times New Roman"/>
                <w:color w:val="FF0000"/>
                <w:sz w:val="20"/>
                <w:szCs w:val="20"/>
              </w:rPr>
            </w:pPr>
          </w:p>
        </w:tc>
        <w:tc>
          <w:tcPr>
            <w:tcW w:w="382" w:type="pct"/>
            <w:vMerge w:val="continue"/>
            <w:shd w:val="clear" w:color="auto" w:fill="auto"/>
            <w:vAlign w:val="center"/>
          </w:tcPr>
          <w:p>
            <w:pPr>
              <w:widowControl/>
              <w:jc w:val="center"/>
              <w:rPr>
                <w:rFonts w:ascii="Times New Roman" w:hAnsi="Times New Roman" w:eastAsia="仿宋" w:cs="Times New Roman"/>
                <w:color w:val="FF0000"/>
                <w:sz w:val="20"/>
                <w:szCs w:val="20"/>
              </w:rPr>
            </w:pPr>
          </w:p>
        </w:tc>
        <w:tc>
          <w:tcPr>
            <w:tcW w:w="41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93" w:type="pct"/>
            <w:vMerge w:val="continue"/>
            <w:shd w:val="clear" w:color="auto" w:fill="auto"/>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9" w:type="pct"/>
            <w:vMerge w:val="continue"/>
            <w:shd w:val="clear" w:color="auto" w:fill="auto"/>
            <w:vAlign w:val="center"/>
          </w:tcPr>
          <w:p>
            <w:pPr>
              <w:rPr>
                <w:rFonts w:ascii="Times New Roman" w:hAnsi="Times New Roman" w:eastAsia="仿宋" w:cs="Times New Roman"/>
                <w:color w:val="FF0000"/>
                <w:sz w:val="20"/>
                <w:szCs w:val="20"/>
              </w:rPr>
            </w:pPr>
          </w:p>
        </w:tc>
        <w:tc>
          <w:tcPr>
            <w:tcW w:w="584" w:type="pct"/>
            <w:vMerge w:val="continue"/>
            <w:shd w:val="clear" w:color="auto" w:fill="auto"/>
            <w:vAlign w:val="center"/>
          </w:tcPr>
          <w:p>
            <w:pPr>
              <w:rPr>
                <w:rFonts w:ascii="Times New Roman" w:hAnsi="Times New Roman" w:eastAsia="仿宋" w:cs="Times New Roman"/>
                <w:color w:val="FF0000"/>
                <w:sz w:val="20"/>
                <w:szCs w:val="20"/>
              </w:rPr>
            </w:pPr>
          </w:p>
        </w:tc>
        <w:tc>
          <w:tcPr>
            <w:tcW w:w="382" w:type="pct"/>
            <w:vMerge w:val="continue"/>
            <w:shd w:val="clear" w:color="auto" w:fill="auto"/>
            <w:vAlign w:val="center"/>
          </w:tcPr>
          <w:p>
            <w:pPr>
              <w:widowControl/>
              <w:jc w:val="center"/>
              <w:rPr>
                <w:rFonts w:ascii="Times New Roman" w:hAnsi="Times New Roman" w:eastAsia="仿宋" w:cs="Times New Roman"/>
                <w:color w:val="FF0000"/>
                <w:sz w:val="20"/>
                <w:szCs w:val="20"/>
              </w:rPr>
            </w:pPr>
          </w:p>
        </w:tc>
        <w:tc>
          <w:tcPr>
            <w:tcW w:w="41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7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3" w:type="pct"/>
            <w:vMerge w:val="continue"/>
            <w:shd w:val="clear" w:color="auto" w:fill="auto"/>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9"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ZH22080230001</w:t>
            </w:r>
          </w:p>
        </w:tc>
        <w:tc>
          <w:tcPr>
            <w:tcW w:w="584"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洮北区一般管控区</w:t>
            </w:r>
          </w:p>
        </w:tc>
        <w:tc>
          <w:tcPr>
            <w:tcW w:w="382" w:type="pct"/>
            <w:shd w:val="clear" w:color="auto" w:fill="auto"/>
            <w:vAlign w:val="center"/>
          </w:tcPr>
          <w:p>
            <w:pPr>
              <w:widowControl/>
              <w:jc w:val="center"/>
              <w:rPr>
                <w:rFonts w:ascii="Times New Roman" w:hAnsi="Times New Roman" w:eastAsia="仿宋" w:cs="Times New Roman"/>
                <w:sz w:val="20"/>
                <w:szCs w:val="20"/>
              </w:rPr>
            </w:pPr>
            <w:r>
              <w:rPr>
                <w:rFonts w:ascii="Times New Roman" w:hAnsi="Times New Roman" w:eastAsia="仿宋" w:cs="Times New Roman"/>
                <w:sz w:val="20"/>
                <w:szCs w:val="20"/>
              </w:rPr>
              <w:t>3-一般管控</w:t>
            </w:r>
          </w:p>
        </w:tc>
        <w:tc>
          <w:tcPr>
            <w:tcW w:w="415"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75"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3" w:type="pc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bl>
    <w:p>
      <w:pPr>
        <w:pStyle w:val="7"/>
        <w:ind w:firstLine="480"/>
        <w:rPr>
          <w:rFonts w:ascii="Times New Roman" w:hAnsi="Times New Roman" w:eastAsia="仿宋"/>
          <w:color w:val="FF0000"/>
        </w:rPr>
      </w:pPr>
    </w:p>
    <w:p>
      <w:pPr>
        <w:keepNext/>
        <w:keepLines/>
        <w:spacing w:before="260" w:after="260"/>
        <w:outlineLvl w:val="1"/>
        <w:rPr>
          <w:rFonts w:ascii="Times New Roman" w:hAnsi="Times New Roman" w:eastAsia="仿宋" w:cs="Times New Roman"/>
          <w:b/>
          <w:bCs/>
          <w:sz w:val="32"/>
          <w:szCs w:val="32"/>
        </w:rPr>
      </w:pPr>
      <w:bookmarkStart w:id="138" w:name="_Toc27655"/>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四十八</w:t>
      </w:r>
      <w:r>
        <w:rPr>
          <w:rFonts w:ascii="Times New Roman" w:hAnsi="Times New Roman" w:eastAsia="仿宋" w:cs="Times New Roman"/>
          <w:b/>
          <w:bCs/>
          <w:sz w:val="32"/>
          <w:szCs w:val="32"/>
        </w:rPr>
        <w:t>）白城市镇赉县生态环境准入清单</w:t>
      </w:r>
      <w:bookmarkEnd w:id="138"/>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表4-56-1 白城市镇赉县区域特征研判</w:t>
      </w:r>
    </w:p>
    <w:tbl>
      <w:tblPr>
        <w:tblStyle w:val="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1"/>
        <w:gridCol w:w="6627"/>
        <w:gridCol w:w="4728"/>
        <w:gridCol w:w="4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4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位于吉林省西北部，白城市东北部，总面积4717平方公里。辖7个镇4个乡。</w:t>
            </w:r>
          </w:p>
          <w:p>
            <w:pPr>
              <w:rPr>
                <w:rFonts w:ascii="Times New Roman" w:hAnsi="Times New Roman" w:eastAsia="仿宋" w:cs="Times New Roman"/>
                <w:color w:val="FF0000"/>
                <w:kern w:val="0"/>
                <w:szCs w:val="21"/>
              </w:rPr>
            </w:pPr>
          </w:p>
        </w:tc>
        <w:tc>
          <w:tcPr>
            <w:tcW w:w="662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重点发展农副产品加工业、机械制造业、医药业、建材业、商贸业、现代物流业等产业，带动全县产业发展。</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充分利用我县丰富的石油、天然气、风能、太阳能、生物质等资源优势，以资源换项目。</w:t>
            </w:r>
          </w:p>
          <w:p>
            <w:pPr>
              <w:tabs>
                <w:tab w:val="left" w:pos="312"/>
              </w:tabs>
              <w:rPr>
                <w:rFonts w:ascii="Times New Roman" w:hAnsi="Times New Roman" w:eastAsia="仿宋" w:cs="Times New Roman"/>
                <w:bCs/>
                <w:color w:val="FF0000"/>
                <w:kern w:val="0"/>
                <w:szCs w:val="21"/>
              </w:rPr>
            </w:pPr>
            <w:r>
              <w:rPr>
                <w:rFonts w:ascii="Times New Roman" w:hAnsi="Times New Roman" w:eastAsia="仿宋" w:cs="Times New Roman"/>
                <w:bCs/>
                <w:kern w:val="0"/>
                <w:szCs w:val="21"/>
              </w:rPr>
              <w:t>加快城市综合体、物流园区、旅游度假区建设，培育低碳、环保、生态的现代服务业集聚区，构建特色鲜明、结构优化、功能完善的现代服务业体系。</w:t>
            </w:r>
          </w:p>
        </w:tc>
        <w:tc>
          <w:tcPr>
            <w:tcW w:w="472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水土流失；</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color w:val="FF0000"/>
                <w:kern w:val="0"/>
                <w:szCs w:val="21"/>
              </w:rPr>
            </w:pPr>
          </w:p>
        </w:tc>
        <w:tc>
          <w:tcPr>
            <w:tcW w:w="439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1.重点保护：吉林莫莫格国家级自然保护区、吉林万宝山国家草原自然公园、吉林镇赉环城国家湿地公园、吉林镇赉大岗省级草原自然公园</w:t>
            </w:r>
            <w:r>
              <w:rPr>
                <w:rFonts w:ascii="Times New Roman" w:hAnsi="Times New Roman" w:eastAsia="仿宋" w:cs="Times New Roman"/>
              </w:rPr>
              <w:t>、月亮湖国家级水产种质资源保护区、国家级公益林</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color w:val="FF0000"/>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）加强湿地、盐碱地的修复和保护。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表4-56-2 白城市镇赉县生态环境准入清单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895"/>
        <w:gridCol w:w="2568"/>
        <w:gridCol w:w="1459"/>
        <w:gridCol w:w="1768"/>
        <w:gridCol w:w="9315"/>
        <w:gridCol w:w="4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48"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607"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345"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18"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202"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78"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ZH22082110001</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吉林莫莫格国家级自然保护区</w:t>
            </w:r>
          </w:p>
        </w:tc>
        <w:tc>
          <w:tcPr>
            <w:tcW w:w="345"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3生态保护红线内水产种质资源保护区执行《水产种质资源保护区管理办法》相关要求。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ZH22082110002</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吉林万宝山国家草原自然公园</w:t>
            </w:r>
          </w:p>
        </w:tc>
        <w:tc>
          <w:tcPr>
            <w:tcW w:w="345"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hint="eastAsia" w:ascii="Times New Roman" w:hAnsi="Times New Roman" w:eastAsia="仿宋" w:cs="Times New Roman"/>
                <w:sz w:val="20"/>
                <w:szCs w:val="21"/>
              </w:rPr>
              <w:t>1</w:t>
            </w: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hint="eastAsia" w:ascii="Times New Roman" w:hAnsi="Times New Roman" w:eastAsia="仿宋" w:cs="Times New Roman"/>
                <w:sz w:val="20"/>
                <w:szCs w:val="21"/>
              </w:rPr>
              <w:t>2生态保护红线内国家级草原公园执行</w:t>
            </w:r>
            <w:r>
              <w:rPr>
                <w:rFonts w:ascii="Times New Roman" w:hAnsi="Times New Roman" w:eastAsia="仿宋" w:cs="Times New Roman"/>
                <w:sz w:val="20"/>
                <w:szCs w:val="21"/>
              </w:rPr>
              <w:t>《国家级自然公园管理办法（试行）》</w:t>
            </w:r>
            <w:r>
              <w:rPr>
                <w:rFonts w:hint="eastAsia" w:ascii="Times New Roman" w:hAnsi="Times New Roman" w:eastAsia="仿宋" w:cs="Times New Roman"/>
                <w:sz w:val="20"/>
                <w:szCs w:val="21"/>
              </w:rPr>
              <w:t>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草原公园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ZH22082110003</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吉林镇赉大岗省级草原自然公园</w:t>
            </w:r>
          </w:p>
        </w:tc>
        <w:tc>
          <w:tcPr>
            <w:tcW w:w="345"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草原公园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ZH22082110004</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吉林镇赉环城国家湿地公园</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ZH22082110005</w:t>
            </w:r>
          </w:p>
        </w:tc>
        <w:tc>
          <w:tcPr>
            <w:tcW w:w="607"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白城市洋沙泡水库饮用水水源保护区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ZH22082110006</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月亮湖国家级水产种质资源保护区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2水产种质资源保护区执行《水产种质资源保护区管理办法》相关要求。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ZH22082110007</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镇赉县国家级公益林</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ZH22082110008</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镇赉县国家级公益林</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3禁止各种损害生态系统水源涵养功能的经济社会活动和生产方式，如无序采矿、毁林开荒、湿地和草地开垦、过度放牧等。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4禁止导致水体污染的产业发展。</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ZH22082110009</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镇赉县防风固沙重要区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防风固沙、盐渍化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ZH22082110010</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镇赉县水源涵养功能生态保护红线</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ZH22082110011</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镇赉县水源涵养功能重要区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4禁止发展高耗水工业。</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水源涵养、水土保持、盐渍化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ZH22082110012</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镇赉县松嫩平原生物多样性维护功能生态保护红线</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2生态保护红线内饮用水水源保护区执行《中华人民共和国水污染防治法》《饮用水水源保护区污染防治管理规定》《吉林省城镇饮用水水源保护条例》相关要求。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生物多样性维护、饮用水水源保护区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ZH22082110013</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镇赉县生物多样性维护生态保护红线</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ZH22082110014</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镇赉县生物多样性重要区</w:t>
            </w:r>
          </w:p>
        </w:tc>
        <w:tc>
          <w:tcPr>
            <w:tcW w:w="345"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2"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ZH22082110015</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镇赉县土地沙化敏感区</w:t>
            </w:r>
          </w:p>
        </w:tc>
        <w:tc>
          <w:tcPr>
            <w:tcW w:w="345"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ZH22082110016</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镇赉县水土流失敏感区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ZH22082110017</w:t>
            </w:r>
          </w:p>
        </w:tc>
        <w:tc>
          <w:tcPr>
            <w:tcW w:w="607"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镇赉县盐渍化敏感区</w:t>
            </w:r>
          </w:p>
        </w:tc>
        <w:tc>
          <w:tcPr>
            <w:tcW w:w="345"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7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48"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ZH22082120001</w:t>
            </w:r>
          </w:p>
        </w:tc>
        <w:tc>
          <w:tcPr>
            <w:tcW w:w="607"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吉林镇赉经济开发区</w:t>
            </w:r>
          </w:p>
        </w:tc>
        <w:tc>
          <w:tcPr>
            <w:tcW w:w="345"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bCs/>
                <w:kern w:val="0"/>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2严格新增高耗水（以水作为主要原料的行业除外）、高污染的建设项目入区。</w:t>
            </w:r>
          </w:p>
        </w:tc>
        <w:tc>
          <w:tcPr>
            <w:tcW w:w="978"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大气环境高排放重点管控区、水环境工业污染重点管控区、建设用地污染风险重点管控区</w:t>
            </w:r>
          </w:p>
          <w:p>
            <w:pP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功能定位：</w:t>
            </w:r>
            <w:r>
              <w:rPr>
                <w:rFonts w:ascii="Times New Roman" w:hAnsi="Times New Roman" w:eastAsia="仿宋" w:cs="Times New Roman"/>
                <w:bCs/>
                <w:kern w:val="0"/>
                <w:sz w:val="20"/>
                <w:szCs w:val="21"/>
              </w:rPr>
              <w:t>县域经济新引擎、新型工业增长极、产业转移承接地、生态经济新城区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农副产品加工业，能源产业，医药产业</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园区规划环评、</w:t>
            </w:r>
            <w:r>
              <w:rPr>
                <w:rFonts w:ascii="Times New Roman" w:hAnsi="Times New Roman" w:eastAsia="仿宋" w:cs="Times New Roman"/>
                <w:sz w:val="20"/>
                <w:szCs w:val="21"/>
              </w:rPr>
              <w:t>《企业事业单位突发环境事件应急预案备案管理办法（试行）》《吉林省“十四五”节能减排综合实施方案》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48" w:type="pct"/>
            <w:vMerge w:val="continue"/>
            <w:shd w:val="clear" w:color="auto" w:fill="FFFFFF"/>
            <w:vAlign w:val="center"/>
          </w:tcPr>
          <w:p>
            <w:pPr>
              <w:rPr>
                <w:rFonts w:ascii="Times New Roman" w:hAnsi="Times New Roman" w:eastAsia="仿宋" w:cs="Times New Roman"/>
                <w:sz w:val="20"/>
              </w:rPr>
            </w:pPr>
          </w:p>
        </w:tc>
        <w:tc>
          <w:tcPr>
            <w:tcW w:w="607" w:type="pct"/>
            <w:vMerge w:val="continue"/>
            <w:shd w:val="clear" w:color="auto" w:fill="FFFFFF"/>
            <w:vAlign w:val="center"/>
          </w:tcPr>
          <w:p>
            <w:pPr>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kern w:val="0"/>
                <w:sz w:val="20"/>
                <w:szCs w:val="20"/>
              </w:rPr>
              <w:tab/>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78"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48" w:type="pct"/>
            <w:vMerge w:val="continue"/>
            <w:shd w:val="clear" w:color="auto" w:fill="FFFFFF"/>
            <w:vAlign w:val="center"/>
          </w:tcPr>
          <w:p>
            <w:pPr>
              <w:rPr>
                <w:rFonts w:ascii="Times New Roman" w:hAnsi="Times New Roman" w:eastAsia="仿宋" w:cs="Times New Roman"/>
                <w:color w:val="FF0000"/>
                <w:sz w:val="20"/>
              </w:rPr>
            </w:pPr>
          </w:p>
        </w:tc>
        <w:tc>
          <w:tcPr>
            <w:tcW w:w="607" w:type="pct"/>
            <w:vMerge w:val="continue"/>
            <w:shd w:val="clear" w:color="auto" w:fill="FFFFFF"/>
            <w:vAlign w:val="center"/>
          </w:tcPr>
          <w:p>
            <w:pPr>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2"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4严格落实规划环评及其批复文件制定的环境风险防范措施。</w:t>
            </w:r>
          </w:p>
        </w:tc>
        <w:tc>
          <w:tcPr>
            <w:tcW w:w="978"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color w:val="FF0000"/>
                <w:sz w:val="20"/>
              </w:rPr>
            </w:pPr>
          </w:p>
        </w:tc>
        <w:tc>
          <w:tcPr>
            <w:tcW w:w="607" w:type="pct"/>
            <w:vMerge w:val="continue"/>
            <w:shd w:val="clear" w:color="auto" w:fill="FFFFFF"/>
            <w:vAlign w:val="center"/>
          </w:tcPr>
          <w:p>
            <w:pPr>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1推广园区集中供热，园区新建供热设施须执行排放浓度限值。</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2完成吉林省下达的产能置换要求。各产业执行对应的清洁生产标准。</w:t>
            </w:r>
          </w:p>
        </w:tc>
        <w:tc>
          <w:tcPr>
            <w:tcW w:w="97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ZH22082120002</w:t>
            </w:r>
          </w:p>
        </w:tc>
        <w:tc>
          <w:tcPr>
            <w:tcW w:w="607"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镇赉县城镇开发边界</w:t>
            </w:r>
          </w:p>
        </w:tc>
        <w:tc>
          <w:tcPr>
            <w:tcW w:w="345"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2除在安全或者产业布局等方面有特殊要求的项目外，应避免大规模排放水污染物的项目布局建设。</w:t>
            </w:r>
          </w:p>
        </w:tc>
        <w:tc>
          <w:tcPr>
            <w:tcW w:w="978"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大气环境受体敏感重点管控区、水环境城镇生活污染重点管控区、建设用地污染风险重点管控区</w:t>
            </w:r>
          </w:p>
          <w:p>
            <w:pPr>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基于“三线”研究成果提出，《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sz w:val="20"/>
              </w:rPr>
            </w:pPr>
          </w:p>
        </w:tc>
        <w:tc>
          <w:tcPr>
            <w:tcW w:w="607" w:type="pct"/>
            <w:vMerge w:val="continue"/>
            <w:shd w:val="clear" w:color="auto" w:fill="FFFFFF"/>
            <w:vAlign w:val="center"/>
          </w:tcPr>
          <w:p>
            <w:pPr>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202" w:type="pct"/>
            <w:shd w:val="clear" w:color="auto" w:fill="FFFFFF"/>
            <w:vAlign w:val="center"/>
          </w:tcPr>
          <w:p>
            <w:pPr>
              <w:widowControl/>
              <w:rPr>
                <w:rFonts w:ascii="Times New Roman" w:hAnsi="Times New Roman" w:eastAsia="仿宋" w:cs="Times New Roman"/>
                <w:color w:val="FF0000"/>
                <w:sz w:val="20"/>
                <w:szCs w:val="21"/>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78"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sz w:val="20"/>
              </w:rPr>
            </w:pPr>
          </w:p>
        </w:tc>
        <w:tc>
          <w:tcPr>
            <w:tcW w:w="607" w:type="pct"/>
            <w:vMerge w:val="continue"/>
            <w:shd w:val="clear" w:color="auto" w:fill="FFFFFF"/>
            <w:vAlign w:val="center"/>
          </w:tcPr>
          <w:p>
            <w:pPr>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0"/>
              </w:rPr>
              <w:t>环境风险防控</w:t>
            </w:r>
          </w:p>
        </w:tc>
        <w:tc>
          <w:tcPr>
            <w:tcW w:w="2202"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8"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sz w:val="20"/>
              </w:rPr>
            </w:pPr>
          </w:p>
        </w:tc>
        <w:tc>
          <w:tcPr>
            <w:tcW w:w="607" w:type="pct"/>
            <w:vMerge w:val="continue"/>
            <w:shd w:val="clear" w:color="auto" w:fill="FFFFFF"/>
            <w:vAlign w:val="center"/>
          </w:tcPr>
          <w:p>
            <w:pPr>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sz w:val="20"/>
              </w:rPr>
            </w:pP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除在安全或者产业布局等方面有特殊要求的项目外，应严格控制新建、扩建采用高污染燃料的项目和设施。</w:t>
            </w:r>
          </w:p>
        </w:tc>
        <w:tc>
          <w:tcPr>
            <w:tcW w:w="978"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ZH22082120003</w:t>
            </w:r>
          </w:p>
        </w:tc>
        <w:tc>
          <w:tcPr>
            <w:tcW w:w="607"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镇赉县大气环境高排放重点管控区</w:t>
            </w:r>
          </w:p>
        </w:tc>
        <w:tc>
          <w:tcPr>
            <w:tcW w:w="345"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78" w:type="pct"/>
            <w:vMerge w:val="restart"/>
            <w:shd w:val="clear" w:color="auto" w:fill="FFFFFF"/>
            <w:vAlign w:val="center"/>
          </w:tcPr>
          <w:p>
            <w:pPr>
              <w:widowControl/>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color w:val="FF0000"/>
                <w:sz w:val="20"/>
              </w:rPr>
            </w:pPr>
          </w:p>
        </w:tc>
        <w:tc>
          <w:tcPr>
            <w:tcW w:w="607" w:type="pct"/>
            <w:vMerge w:val="continue"/>
            <w:shd w:val="clear" w:color="auto" w:fill="FFFFFF"/>
            <w:vAlign w:val="center"/>
          </w:tcPr>
          <w:p>
            <w:pPr>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7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color w:val="FF0000"/>
                <w:sz w:val="20"/>
              </w:rPr>
            </w:pPr>
          </w:p>
        </w:tc>
        <w:tc>
          <w:tcPr>
            <w:tcW w:w="607" w:type="pct"/>
            <w:vMerge w:val="continue"/>
            <w:shd w:val="clear" w:color="auto" w:fill="FFFFFF"/>
            <w:vAlign w:val="center"/>
          </w:tcPr>
          <w:p>
            <w:pPr>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02"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7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rPr>
                <w:rFonts w:ascii="Times New Roman" w:hAnsi="Times New Roman" w:eastAsia="仿宋" w:cs="Times New Roman"/>
                <w:color w:val="FF0000"/>
                <w:sz w:val="20"/>
              </w:rPr>
            </w:pPr>
          </w:p>
        </w:tc>
        <w:tc>
          <w:tcPr>
            <w:tcW w:w="607" w:type="pct"/>
            <w:vMerge w:val="continue"/>
            <w:shd w:val="clear" w:color="auto" w:fill="FFFFFF"/>
            <w:vAlign w:val="center"/>
          </w:tcPr>
          <w:p>
            <w:pPr>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7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ZH22082120004</w:t>
            </w:r>
          </w:p>
        </w:tc>
        <w:tc>
          <w:tcPr>
            <w:tcW w:w="607"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镇赉县水环境农业污染重点管控区</w:t>
            </w:r>
          </w:p>
        </w:tc>
        <w:tc>
          <w:tcPr>
            <w:tcW w:w="345"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02"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规模化畜禽养殖场（小区）应当保证畜禽粪污无害化处理和资源化利用设施的正常运转。散养密集区要实行畜禽粪便污水分户收集、集中处理利用。</w:t>
            </w:r>
          </w:p>
        </w:tc>
        <w:tc>
          <w:tcPr>
            <w:tcW w:w="978"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水环境农业污染重点管控区、建设用地污染风险重点管控区</w:t>
            </w:r>
          </w:p>
          <w:p>
            <w:pPr>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607"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02"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8" w:type="pct"/>
            <w:vMerge w:val="continue"/>
            <w:shd w:val="clear" w:color="auto" w:fill="FFFFFF"/>
            <w:vAlign w:val="center"/>
          </w:tcPr>
          <w:p>
            <w:pP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ZH22082120005</w:t>
            </w:r>
          </w:p>
        </w:tc>
        <w:tc>
          <w:tcPr>
            <w:tcW w:w="607"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镇赉县建设用地污染风险重点管控区</w:t>
            </w:r>
          </w:p>
        </w:tc>
        <w:tc>
          <w:tcPr>
            <w:tcW w:w="345"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18"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78" w:type="pct"/>
            <w:vMerge w:val="restart"/>
            <w:shd w:val="clear" w:color="auto" w:fill="FFFFFF"/>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rPr>
                <w:rFonts w:ascii="Times New Roman" w:hAnsi="Times New Roman" w:eastAsia="仿宋" w:cs="Times New Roman"/>
                <w:b/>
                <w:bCs/>
                <w:sz w:val="20"/>
                <w:szCs w:val="21"/>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《污染地块土壤环境管理办法（试行）》《工矿用地土壤环境管理办法（试行）》《中共吉林省委 吉林省人民政府关于深入打好污染防治攻坚战的实施意见》《吉林省土壤环境质量巩固提升行动方案》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widowControl/>
              <w:jc w:val="left"/>
              <w:rPr>
                <w:rFonts w:ascii="Times New Roman" w:hAnsi="Times New Roman" w:eastAsia="仿宋" w:cs="Times New Roman"/>
                <w:sz w:val="20"/>
              </w:rPr>
            </w:pPr>
          </w:p>
        </w:tc>
        <w:tc>
          <w:tcPr>
            <w:tcW w:w="607" w:type="pct"/>
            <w:vMerge w:val="continue"/>
            <w:shd w:val="clear" w:color="auto" w:fill="FFFFFF"/>
            <w:vAlign w:val="center"/>
          </w:tcPr>
          <w:p>
            <w:pPr>
              <w:widowControl/>
              <w:jc w:val="left"/>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78" w:type="pct"/>
            <w:vMerge w:val="continue"/>
            <w:shd w:val="clear" w:color="auto" w:fill="FFFFFF"/>
            <w:vAlign w:val="center"/>
          </w:tcPr>
          <w:p>
            <w:pP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vMerge w:val="continue"/>
            <w:shd w:val="clear" w:color="auto" w:fill="FFFFFF"/>
            <w:vAlign w:val="center"/>
          </w:tcPr>
          <w:p>
            <w:pPr>
              <w:widowControl/>
              <w:jc w:val="left"/>
              <w:rPr>
                <w:rFonts w:ascii="Times New Roman" w:hAnsi="Times New Roman" w:eastAsia="仿宋" w:cs="Times New Roman"/>
                <w:sz w:val="20"/>
              </w:rPr>
            </w:pPr>
          </w:p>
        </w:tc>
        <w:tc>
          <w:tcPr>
            <w:tcW w:w="607" w:type="pct"/>
            <w:vMerge w:val="continue"/>
            <w:shd w:val="clear" w:color="auto" w:fill="FFFFFF"/>
            <w:vAlign w:val="center"/>
          </w:tcPr>
          <w:p>
            <w:pPr>
              <w:widowControl/>
              <w:jc w:val="left"/>
              <w:rPr>
                <w:rFonts w:ascii="Times New Roman" w:hAnsi="Times New Roman" w:eastAsia="仿宋" w:cs="Times New Roman"/>
                <w:sz w:val="20"/>
              </w:rPr>
            </w:pPr>
          </w:p>
        </w:tc>
        <w:tc>
          <w:tcPr>
            <w:tcW w:w="345"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18"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02"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78" w:type="pct"/>
            <w:vMerge w:val="continue"/>
            <w:shd w:val="clear" w:color="auto" w:fill="FFFFFF"/>
            <w:vAlign w:val="center"/>
          </w:tcPr>
          <w:p>
            <w:pPr>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ZH22082130001</w:t>
            </w:r>
          </w:p>
        </w:tc>
        <w:tc>
          <w:tcPr>
            <w:tcW w:w="607"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镇赉县一般管控区</w:t>
            </w:r>
          </w:p>
        </w:tc>
        <w:tc>
          <w:tcPr>
            <w:tcW w:w="345"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3-一般管控</w:t>
            </w:r>
          </w:p>
        </w:tc>
        <w:tc>
          <w:tcPr>
            <w:tcW w:w="41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02"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78"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bl>
    <w:p>
      <w:pPr>
        <w:jc w:val="center"/>
        <w:rPr>
          <w:rFonts w:ascii="Times New Roman" w:hAnsi="Times New Roman" w:eastAsia="仿宋" w:cs="Times New Roman"/>
          <w:b/>
          <w:color w:val="FF0000"/>
          <w:szCs w:val="21"/>
        </w:rPr>
      </w:pPr>
    </w:p>
    <w:p>
      <w:pPr>
        <w:keepNext/>
        <w:keepLines/>
        <w:spacing w:before="260" w:after="260"/>
        <w:outlineLvl w:val="1"/>
        <w:rPr>
          <w:rFonts w:ascii="Times New Roman" w:hAnsi="Times New Roman" w:eastAsia="仿宋" w:cs="Times New Roman"/>
          <w:b/>
          <w:bCs/>
          <w:sz w:val="32"/>
          <w:szCs w:val="32"/>
        </w:rPr>
      </w:pPr>
      <w:bookmarkStart w:id="139" w:name="_Toc32252"/>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四十九</w:t>
      </w:r>
      <w:r>
        <w:rPr>
          <w:rFonts w:ascii="Times New Roman" w:hAnsi="Times New Roman" w:eastAsia="仿宋" w:cs="Times New Roman"/>
          <w:b/>
          <w:bCs/>
          <w:sz w:val="32"/>
          <w:szCs w:val="32"/>
        </w:rPr>
        <w:t>） 白城市通榆县生态环境准入清单</w:t>
      </w:r>
      <w:bookmarkEnd w:id="139"/>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表4-57-1 白城市</w:t>
      </w:r>
      <w:r>
        <w:rPr>
          <w:rFonts w:ascii="Times New Roman" w:hAnsi="Times New Roman" w:eastAsia="仿宋" w:cs="Times New Roman"/>
          <w:b/>
          <w:bCs/>
          <w:kern w:val="0"/>
          <w:sz w:val="24"/>
          <w:szCs w:val="24"/>
        </w:rPr>
        <w:t>通榆县</w:t>
      </w:r>
      <w:r>
        <w:rPr>
          <w:rFonts w:ascii="Times New Roman" w:hAnsi="Times New Roman" w:eastAsia="仿宋" w:cs="Times New Roman"/>
          <w:b/>
          <w:kern w:val="0"/>
          <w:sz w:val="24"/>
          <w:szCs w:val="24"/>
        </w:rPr>
        <w:t>区域特征研判</w:t>
      </w:r>
    </w:p>
    <w:tbl>
      <w:tblPr>
        <w:tblStyle w:val="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4278"/>
        <w:gridCol w:w="8957"/>
        <w:gridCol w:w="3520"/>
        <w:gridCol w:w="4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011"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211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832"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011" w:type="pct"/>
            <w:shd w:val="clear" w:color="auto" w:fill="FFFFFF"/>
            <w:vAlign w:val="center"/>
          </w:tcPr>
          <w:p>
            <w:pPr>
              <w:numPr>
                <w:ilvl w:val="0"/>
                <w:numId w:val="4"/>
              </w:numPr>
              <w:rPr>
                <w:rFonts w:ascii="Times New Roman" w:hAnsi="Times New Roman" w:eastAsia="仿宋" w:cs="Times New Roman"/>
                <w:kern w:val="0"/>
                <w:szCs w:val="21"/>
              </w:rPr>
            </w:pPr>
            <w:r>
              <w:rPr>
                <w:rFonts w:ascii="Times New Roman" w:hAnsi="Times New Roman" w:eastAsia="仿宋" w:cs="Times New Roman"/>
                <w:kern w:val="0"/>
                <w:szCs w:val="21"/>
              </w:rPr>
              <w:t>位于科尔沁草原生态功能区，属于国家级防风固沙型重点生态功能区。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位于吉林省西部，白城市南面，总面积8476平方公里。辖8镇8乡，172个行政村。</w:t>
            </w:r>
          </w:p>
        </w:tc>
        <w:tc>
          <w:tcPr>
            <w:tcW w:w="2117" w:type="pct"/>
            <w:shd w:val="clear" w:color="auto" w:fill="FFFFFF"/>
            <w:vAlign w:val="center"/>
          </w:tcPr>
          <w:p>
            <w:pPr>
              <w:tabs>
                <w:tab w:val="left" w:pos="312"/>
              </w:tabs>
              <w:rPr>
                <w:rFonts w:ascii="Times New Roman" w:hAnsi="Times New Roman" w:eastAsia="仿宋" w:cs="Times New Roman"/>
                <w:bCs/>
                <w:kern w:val="0"/>
                <w:szCs w:val="21"/>
              </w:rPr>
            </w:pPr>
            <w:r>
              <w:rPr>
                <w:rFonts w:ascii="Times New Roman" w:hAnsi="Times New Roman" w:eastAsia="仿宋" w:cs="Times New Roman"/>
                <w:bCs/>
                <w:kern w:val="0"/>
                <w:szCs w:val="21"/>
              </w:rPr>
              <w:t>提升区域生态系统完整性和稳定性，推进以吉林向海国家级自然保护区、吉林包拉温都省级自然保护区为基础，吉林通榆北大桥湿地公园为补充的自然保护地体系的保护和建设。推进全国草原湿地生态修复试验区建设，加大水土流失综合治理力度，实施流域湿地生态补水工程，支持向海、霍林河等开展湖泊生态环境整治工程。与周边县市共筑科尔沁草原生态安全功能区，加强生态系统防风固沙功能，提升林草湿生态系统稳定性。</w:t>
            </w:r>
          </w:p>
          <w:p>
            <w:pPr>
              <w:tabs>
                <w:tab w:val="left" w:pos="312"/>
              </w:tabs>
              <w:rPr>
                <w:rFonts w:ascii="Times New Roman" w:hAnsi="Times New Roman" w:eastAsia="仿宋" w:cs="Times New Roman"/>
                <w:bCs/>
                <w:kern w:val="0"/>
                <w:szCs w:val="21"/>
              </w:rPr>
            </w:pPr>
            <w:r>
              <w:rPr>
                <w:rFonts w:ascii="Times New Roman" w:hAnsi="Times New Roman" w:eastAsia="仿宋" w:cs="Times New Roman"/>
                <w:bCs/>
                <w:kern w:val="0"/>
                <w:szCs w:val="21"/>
              </w:rPr>
              <w:t>充分发挥通榆县风光资源优势，围绕“陆上风光三峡”建设工程全力推进风电光伏和生物质等清洁能源项目，打造清洁能源生产基地。依托省级开发区加强风电装备制造，统筹实施装备制造等产业项目，推进产业转型升级，打造能源装备制造基地。推进传统产业转型升级，改进工艺链条优化生产环节，打造医药加工产业基地。抢抓经济发展黄金期，结合两化联动试点县契机，依托优质风光资源，打造全省绿电消纳综合示范区，加快推进包含氢能化工、新材料、新能源装备制造、高载能加工的零碳产业园区建设。打造农畜产品加工基地，依托丰富的农畜资源，由初加工向深加工转化。打造绿电消纳基地，依托丰富的绿电资源，加快推进绿电园区建设。</w:t>
            </w:r>
          </w:p>
          <w:p>
            <w:pPr>
              <w:tabs>
                <w:tab w:val="left" w:pos="312"/>
              </w:tabs>
              <w:rPr>
                <w:rFonts w:ascii="Times New Roman" w:hAnsi="Times New Roman" w:eastAsia="仿宋" w:cs="Times New Roman"/>
                <w:bCs/>
                <w:kern w:val="0"/>
                <w:szCs w:val="21"/>
              </w:rPr>
            </w:pPr>
            <w:r>
              <w:rPr>
                <w:rFonts w:ascii="Times New Roman" w:hAnsi="Times New Roman" w:eastAsia="仿宋" w:cs="Times New Roman"/>
                <w:bCs/>
                <w:kern w:val="0"/>
                <w:szCs w:val="21"/>
              </w:rPr>
              <w:t>借助以向海为核心的生态旅游一大品牌，以吉林向海国家级自然保护区为核心，以北部湿地生态与休闲度假旅游、东部草原与农业生态观光旅游、南部湿地与杏林观光旅游为重点，以蒙古黄榆景区、包拉温都杏花景区、瞻榆神榆景区、三家子草原观光区、风电场观光区、墨宝园景区等为辅助，构建全域旅游发展格局，打造“长松大白通长河湖草原湿地旅游大环线”的重要节点。</w:t>
            </w:r>
          </w:p>
        </w:tc>
        <w:tc>
          <w:tcPr>
            <w:tcW w:w="832"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水土流失；</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土地沙化、碱化；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w:t>
            </w:r>
          </w:p>
          <w:p>
            <w:pPr>
              <w:rPr>
                <w:rFonts w:ascii="Times New Roman" w:hAnsi="Times New Roman" w:eastAsia="仿宋" w:cs="Times New Roman"/>
                <w:bCs/>
                <w:kern w:val="0"/>
                <w:szCs w:val="21"/>
              </w:rPr>
            </w:pP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1.重点保护：向海国家级自然保护区、吉林包拉温都省级自然保护区、吉林通榆霍林河省级湿地公园、白城市盐铺秀丽白虾省级水产种质资源保护区、国家级公益林、霍林河水功能区一级区保护区</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（1）改善区域水环境。</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（2）加强湿地、盐碱地的修复和保护。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（3）加强草地经营，强化草地管护。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表4-57-2 白城市通榆县生态环境准入清单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97"/>
        <w:gridCol w:w="2377"/>
        <w:gridCol w:w="1497"/>
        <w:gridCol w:w="1815"/>
        <w:gridCol w:w="9247"/>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562"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354"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29"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186"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95"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ZH22082210001</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吉林向海国家级自然保护区</w:t>
            </w:r>
          </w:p>
        </w:tc>
        <w:tc>
          <w:tcPr>
            <w:tcW w:w="354"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3生态保护红线内水产种质资源保护区执行《水产种质资源保护区管理办法》相关要求。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4生态保护红线内江河源头区域执行《水功能区监督管理办法》相关要求。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自然保护区、水产种质资源保护区、江河源头区域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ZH22082210002</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吉林包拉温都省级自然保护区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3生态保护红线内重要湿地执行《中华人民共和国湿地保护法》《湿地保护管理规定》《吉林省湿地保护条例》《关于特别是作为水禽栖息地的国际重要湿地公约》相关要求。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自然保护区、重要湿地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ZH22082210003</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吉林通榆霍林河省级湿地公园</w:t>
            </w:r>
          </w:p>
        </w:tc>
        <w:tc>
          <w:tcPr>
            <w:tcW w:w="354"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湿地公园、生物多样性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ZH22082210004</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白城市盐铺秀丽白虾省级水产种质资源保护区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2水产种质资源保护区执行《水产种质资源保护区管理办法》相关要求。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ZH22082210005</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通榆县国家级公益林</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1原则上按禁止开发区域的要求进行管理，执行</w:t>
            </w:r>
            <w:r>
              <w:rPr>
                <w:rFonts w:hint="eastAsia" w:ascii="Times New Roman" w:hAnsi="Times New Roman" w:eastAsia="仿宋" w:cs="Times New Roman"/>
                <w:bCs/>
                <w:kern w:val="0"/>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1"/>
              </w:rPr>
              <w:t>中相关要求。</w:t>
            </w:r>
          </w:p>
          <w:p>
            <w:pPr>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2 国家级公益林执行</w:t>
            </w:r>
            <w:r>
              <w:rPr>
                <w:rFonts w:hint="eastAsia" w:ascii="Times New Roman" w:hAnsi="Times New Roman" w:eastAsia="仿宋" w:cs="Times New Roman"/>
                <w:bCs/>
                <w:kern w:val="0"/>
                <w:sz w:val="20"/>
                <w:szCs w:val="21"/>
              </w:rPr>
              <w:t>《国家级公益林管理办法》（2017年修订）</w:t>
            </w:r>
            <w:r>
              <w:rPr>
                <w:rFonts w:ascii="Times New Roman" w:hAnsi="Times New Roman" w:eastAsia="仿宋" w:cs="Times New Roman"/>
                <w:bCs/>
                <w:kern w:val="0"/>
                <w:sz w:val="20"/>
                <w:szCs w:val="21"/>
              </w:rPr>
              <w:t>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ZH22082210006</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通榆县国家级公益林</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ZH22082210007</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霍林河水功能区一级区保护区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2江河源头区域执行《水功能区监督管理办法》相关要求。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3禁止各种损害生态系统水源涵养功能的经济社会活动和生产方式，如无序采矿、毁林开荒、湿地和草地开垦、过度放牧等。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4禁止导致水体污染的产业发展。</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7禁止发展高耗水工业。</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8原则上不再新建各类产业园区，严禁随意扩大现有产业园区范围。以工业为主的产业园区应加快完成园区的循环化改造，鼓励推进低消耗、可循环、少排放的生态型工业区建设。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9</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江河源头区域、水源涵养、防风固沙、水土保持、盐渍化、水土流失、土地沙化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ZH22082210008</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通榆县松嫩平原防风固沙功能生态保护红线</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ZH22082210009</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通榆县防风固沙重要区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7江河源头区域执行《水功能区监督管理办法》相关要求。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防风固沙、盐渍化、水土流失、土地沙化、江河源头区域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ZH22082210010</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通榆县水源涵养功能重要区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3禁止发展高耗水工业。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4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p>
            <w:pPr>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水源涵养、盐渍化、水土流失、土地沙化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ZH22082210011</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通榆县松嫩平原生物多样性维护功能生态保护红线</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2生态保护红线内江河源头区域执行《水功能区监督管理办法》相关要求。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ZH22082210012</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通榆县生物多样性维护功能生态保护红线</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2生态保护红线内江河源头区域执行《水功能区监督管理办法》相关要求。</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ZH22082210013</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通榆县生物多样性重要区</w:t>
            </w:r>
          </w:p>
        </w:tc>
        <w:tc>
          <w:tcPr>
            <w:tcW w:w="354"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禁止滥捕、乱采、乱猎等行为，加强外来入侵物种管理。</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ZH22082210014</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通榆县土地沙化敏感区</w:t>
            </w:r>
          </w:p>
        </w:tc>
        <w:tc>
          <w:tcPr>
            <w:tcW w:w="354"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ZH22082210015</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通榆县水土流失敏感区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trike/>
                <w:color w:val="FF0000"/>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ZH22082210016</w:t>
            </w:r>
          </w:p>
        </w:tc>
        <w:tc>
          <w:tcPr>
            <w:tcW w:w="562" w:type="pct"/>
            <w:shd w:val="clear" w:color="auto" w:fill="FFFFFF"/>
            <w:vAlign w:val="center"/>
          </w:tcPr>
          <w:p>
            <w:pPr>
              <w:widowControl/>
              <w:jc w:val="left"/>
              <w:rPr>
                <w:rFonts w:ascii="Times New Roman" w:hAnsi="Times New Roman" w:eastAsia="仿宋" w:cs="Times New Roman"/>
                <w:bCs/>
                <w:kern w:val="0"/>
                <w:sz w:val="20"/>
                <w:szCs w:val="21"/>
              </w:rPr>
            </w:pPr>
            <w:r>
              <w:rPr>
                <w:rFonts w:ascii="Times New Roman" w:hAnsi="Times New Roman" w:eastAsia="仿宋" w:cs="Times New Roman"/>
                <w:bCs/>
                <w:kern w:val="0"/>
                <w:sz w:val="20"/>
                <w:szCs w:val="21"/>
              </w:rPr>
              <w:t>通榆县盐渍化敏感区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ZH22082220001</w:t>
            </w:r>
          </w:p>
        </w:tc>
        <w:tc>
          <w:tcPr>
            <w:tcW w:w="562"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吉林通榆经济开发区</w:t>
            </w:r>
          </w:p>
        </w:tc>
        <w:tc>
          <w:tcPr>
            <w:tcW w:w="354"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2严格限制不符合开发区产业发展方向以及能耗、物耗高，污染严重的项目入区。</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3严格禁止钢铁、焦化、制革、水泥、印染、电镀等以及排放重金属、难降解有机污染物的项目入区。</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4禁止发展高耗水工业（以水作为主要原料的行业除外）。</w:t>
            </w:r>
          </w:p>
        </w:tc>
        <w:tc>
          <w:tcPr>
            <w:tcW w:w="995"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大气环境高排放重点管控区、水环境工业污染重点管控区、高污染燃料禁燃区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功能定位：</w:t>
            </w:r>
            <w:r>
              <w:rPr>
                <w:rFonts w:ascii="Times New Roman" w:hAnsi="Times New Roman" w:eastAsia="仿宋" w:cs="Times New Roman"/>
                <w:bCs/>
                <w:kern w:val="0"/>
                <w:sz w:val="20"/>
                <w:szCs w:val="21"/>
              </w:rPr>
              <w:t>县域经济新引擎、新型工业增长极、产业转移承接地、山水生态新城区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主园区以风能产业、高端服务、生物质能、光伏产业、农畜加工、纺织业等产业为主；铁西片区以生物医药、农产品加工和现代物流业为主；迎新片区以新型建筑材料业为主；胡家店片区以现代物流业为主</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园区规划环评、《企业事业单位突发环境事件应急预案备案管理办法（试行）》《吉林省“十四五”节能减排综合实施方案》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186"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sz w:val="20"/>
                <w:szCs w:val="21"/>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kern w:val="0"/>
                <w:sz w:val="20"/>
                <w:szCs w:val="20"/>
              </w:rPr>
              <w:tab/>
            </w:r>
          </w:p>
        </w:tc>
        <w:tc>
          <w:tcPr>
            <w:tcW w:w="995"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禁燃区内禁止燃烧煤炭及其制品、石油焦、油页岩、原油、重油、渣油、煤焦油等燃料（集中供热、电厂锅炉除外），非专用锅炉或未配置高效除尘设施的专用锅炉燃用的生物质成型燃料；禁燃区内禁止新建、扩建、改建使用高污染燃料的项目（集中供热、电厂锅炉除外）；禁燃区内严禁露天焚烧秸秆、落叶，禁止焚烧沥青、油毡、橡胶、塑料、皮革、垃圾以及其他产生有毒有害烟尘和恶臭气体的物质。</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2积极推进区内供热（汽）管网建设，尽快实现开发区集中供热。园区新建供热设施须执行排放浓度限值。完成吉林省下达的产能置换要求。各产业执行对应的清洁生产标准。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3促进再生水的利用。加强工业节水及循环利用、促进城镇节水、加大农业节水力度；在优先保障生活取水和生态用水的前提下，严格按照用水总量控制红线，控制工业和农业生产取水量。</w:t>
            </w:r>
          </w:p>
        </w:tc>
        <w:tc>
          <w:tcPr>
            <w:tcW w:w="99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ZH22082220002</w:t>
            </w:r>
          </w:p>
        </w:tc>
        <w:tc>
          <w:tcPr>
            <w:tcW w:w="562"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通榆县化工园区</w:t>
            </w:r>
          </w:p>
        </w:tc>
        <w:tc>
          <w:tcPr>
            <w:tcW w:w="354"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86"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sz w:val="20"/>
                <w:szCs w:val="20"/>
              </w:rPr>
              <w:t>严格落实规划环评及其批复文件环境准入条件</w:t>
            </w:r>
            <w:r>
              <w:rPr>
                <w:rFonts w:ascii="Times New Roman" w:hAnsi="Times New Roman" w:eastAsia="仿宋" w:cs="Times New Roman"/>
                <w:sz w:val="20"/>
                <w:szCs w:val="20"/>
              </w:rPr>
              <w:t>。</w:t>
            </w:r>
          </w:p>
        </w:tc>
        <w:tc>
          <w:tcPr>
            <w:tcW w:w="995" w:type="pct"/>
            <w:vMerge w:val="restart"/>
            <w:shd w:val="clear" w:color="auto" w:fill="FFFFFF"/>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大气环境高排放重点管控区、水环境工业污染重点管控区、高污染燃料禁燃区</w:t>
            </w:r>
          </w:p>
          <w:p>
            <w:pPr>
              <w:widowControl/>
              <w:jc w:val="left"/>
              <w:rPr>
                <w:rFonts w:ascii="Times New Roman" w:hAnsi="Times New Roman" w:eastAsia="仿宋" w:cs="Times New Roman"/>
                <w:b/>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《企业事业单位突发环境事件应急预案备案管理办法（试行）》《吉林省“十四五”节能减排综合实施方案》《中共吉林省委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8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9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6"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9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color w:val="FF0000"/>
                <w:sz w:val="20"/>
              </w:rPr>
            </w:pPr>
          </w:p>
        </w:tc>
        <w:tc>
          <w:tcPr>
            <w:tcW w:w="562" w:type="pct"/>
            <w:vMerge w:val="continue"/>
            <w:shd w:val="clear" w:color="auto" w:fill="FFFFFF"/>
            <w:vAlign w:val="center"/>
          </w:tcPr>
          <w:p>
            <w:pPr>
              <w:rPr>
                <w:rFonts w:ascii="Times New Roman" w:hAnsi="Times New Roman" w:eastAsia="仿宋" w:cs="Times New Roman"/>
                <w:color w:val="FF0000"/>
                <w:sz w:val="20"/>
              </w:rPr>
            </w:pPr>
          </w:p>
        </w:tc>
        <w:tc>
          <w:tcPr>
            <w:tcW w:w="354"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禁燃区内禁止燃烧煤炭及其制品、石油焦、油页岩、原油、重油、渣油、煤焦油等燃料，非专用锅炉或未配置高效除尘设施的专用锅炉燃用的生物质成型燃料（集中供热、电厂锅炉除外）；禁燃区内禁止新建、扩建、改建使用高污染燃料的项目（集中供热、电厂锅炉除外）；禁燃区内严禁露天焚烧秸秆、落叶，禁止焚烧沥青、油毡、橡胶、塑料、皮革、垃圾以及其他产生有毒有害烟尘和恶臭气体的物质。</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2积极推进区内供热（汽）管网建设，尽快实现开发区集中供热。园区新建供热设施须执行排放浓度限值。</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3完成吉林省下达的产能置换要求。各产业执行对应的清洁生产标准。</w:t>
            </w:r>
          </w:p>
        </w:tc>
        <w:tc>
          <w:tcPr>
            <w:tcW w:w="99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ZH22082220003</w:t>
            </w:r>
          </w:p>
        </w:tc>
        <w:tc>
          <w:tcPr>
            <w:tcW w:w="562"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通榆县城镇开发边界</w:t>
            </w:r>
          </w:p>
        </w:tc>
        <w:tc>
          <w:tcPr>
            <w:tcW w:w="354"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2除在安全或者产业布局等方面有特殊要求的项目外，应避免大规模排放水污染物的项目布局建设。</w:t>
            </w:r>
          </w:p>
        </w:tc>
        <w:tc>
          <w:tcPr>
            <w:tcW w:w="995" w:type="pct"/>
            <w:vMerge w:val="restart"/>
            <w:shd w:val="clear" w:color="auto" w:fill="FFFFFF"/>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大气环境受体敏感重点管控区、水环境城镇生活污染重点管控区、建设用地污染风险重点管控区、高污染燃料禁燃区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基于“三线”研究成果提出，《关于开展畜禽养殖禁养区划定工作的通知》《畜禽规模养殖污染防治条例》《吉林省减污降碳协同增效实施方案》《中共吉林省委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sz w:val="20"/>
              </w:rPr>
            </w:pPr>
          </w:p>
        </w:tc>
        <w:tc>
          <w:tcPr>
            <w:tcW w:w="562" w:type="pct"/>
            <w:vMerge w:val="continue"/>
            <w:shd w:val="clear" w:color="auto" w:fill="FFFFFF"/>
            <w:vAlign w:val="center"/>
          </w:tcPr>
          <w:p>
            <w:pPr>
              <w:rPr>
                <w:rFonts w:ascii="Times New Roman" w:hAnsi="Times New Roman" w:eastAsia="仿宋" w:cs="Times New Roman"/>
                <w:sz w:val="20"/>
              </w:rPr>
            </w:pPr>
          </w:p>
        </w:tc>
        <w:tc>
          <w:tcPr>
            <w:tcW w:w="354" w:type="pct"/>
            <w:vMerge w:val="continue"/>
            <w:shd w:val="clear" w:color="auto" w:fill="FFFFFF"/>
            <w:vAlign w:val="center"/>
          </w:tcPr>
          <w:p>
            <w:pPr>
              <w:widowControl/>
              <w:jc w:val="left"/>
              <w:rPr>
                <w:rFonts w:ascii="Times New Roman" w:hAnsi="Times New Roman" w:eastAsia="仿宋" w:cs="Times New Roman"/>
                <w:sz w:val="20"/>
              </w:rPr>
            </w:pP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1"/>
              </w:rPr>
              <w:t>加强对餐饮服务业油烟污染监管</w:t>
            </w:r>
            <w:r>
              <w:rPr>
                <w:rFonts w:ascii="Times New Roman" w:hAnsi="Times New Roman" w:eastAsia="仿宋" w:cs="Times New Roman"/>
                <w:sz w:val="20"/>
                <w:szCs w:val="21"/>
              </w:rPr>
              <w:t>，强化对加油站、储油库、油罐车等油气回收设施运行监管。</w:t>
            </w:r>
          </w:p>
        </w:tc>
        <w:tc>
          <w:tcPr>
            <w:tcW w:w="995"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sz w:val="20"/>
              </w:rPr>
            </w:pPr>
          </w:p>
        </w:tc>
        <w:tc>
          <w:tcPr>
            <w:tcW w:w="562" w:type="pct"/>
            <w:vMerge w:val="continue"/>
            <w:shd w:val="clear" w:color="auto" w:fill="FFFFFF"/>
            <w:vAlign w:val="center"/>
          </w:tcPr>
          <w:p>
            <w:pPr>
              <w:rPr>
                <w:rFonts w:ascii="Times New Roman" w:hAnsi="Times New Roman" w:eastAsia="仿宋" w:cs="Times New Roman"/>
                <w:sz w:val="20"/>
              </w:rPr>
            </w:pPr>
          </w:p>
        </w:tc>
        <w:tc>
          <w:tcPr>
            <w:tcW w:w="354" w:type="pct"/>
            <w:vMerge w:val="continue"/>
            <w:shd w:val="clear" w:color="auto" w:fill="FFFFFF"/>
            <w:vAlign w:val="center"/>
          </w:tcPr>
          <w:p>
            <w:pPr>
              <w:widowControl/>
              <w:jc w:val="left"/>
              <w:rPr>
                <w:rFonts w:ascii="Times New Roman" w:hAnsi="Times New Roman" w:eastAsia="仿宋" w:cs="Times New Roman"/>
                <w:sz w:val="20"/>
              </w:rPr>
            </w:pPr>
          </w:p>
        </w:tc>
        <w:tc>
          <w:tcPr>
            <w:tcW w:w="429"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0"/>
              </w:rPr>
              <w:t>1</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95"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vMerge w:val="continue"/>
            <w:shd w:val="clear" w:color="auto" w:fill="FFFFFF"/>
            <w:vAlign w:val="center"/>
          </w:tcPr>
          <w:p>
            <w:pPr>
              <w:rPr>
                <w:rFonts w:ascii="Times New Roman" w:hAnsi="Times New Roman" w:eastAsia="仿宋" w:cs="Times New Roman"/>
                <w:sz w:val="20"/>
              </w:rPr>
            </w:pPr>
          </w:p>
        </w:tc>
        <w:tc>
          <w:tcPr>
            <w:tcW w:w="562" w:type="pct"/>
            <w:vMerge w:val="continue"/>
            <w:shd w:val="clear" w:color="auto" w:fill="FFFFFF"/>
            <w:vAlign w:val="center"/>
          </w:tcPr>
          <w:p>
            <w:pPr>
              <w:rPr>
                <w:rFonts w:ascii="Times New Roman" w:hAnsi="Times New Roman" w:eastAsia="仿宋" w:cs="Times New Roman"/>
                <w:sz w:val="20"/>
              </w:rPr>
            </w:pPr>
          </w:p>
        </w:tc>
        <w:tc>
          <w:tcPr>
            <w:tcW w:w="354" w:type="pct"/>
            <w:vMerge w:val="continue"/>
            <w:shd w:val="clear" w:color="auto" w:fill="FFFFFF"/>
            <w:vAlign w:val="center"/>
          </w:tcPr>
          <w:p>
            <w:pPr>
              <w:widowControl/>
              <w:jc w:val="left"/>
              <w:rPr>
                <w:rFonts w:ascii="Times New Roman" w:hAnsi="Times New Roman" w:eastAsia="仿宋" w:cs="Times New Roman"/>
                <w:sz w:val="20"/>
              </w:rPr>
            </w:pP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禁燃区内禁止燃烧煤炭及其制品、石油焦、油页岩、原油、重油、渣油、煤焦油等燃料，非专用锅炉或未配置高效除尘设施的专用锅炉燃用的生物质成型燃料（集中供热、电厂锅炉除外）；禁燃区内禁止新建、扩建、改建使用高污染燃料的项目（集中供热、电厂锅炉除外）；禁燃区内严禁露天焚烧秸秆、落叶，禁止焚烧沥青、油毡、橡胶、塑料、皮革、垃圾以及其他产生有毒有害烟尘和恶臭气体的物质。</w:t>
            </w:r>
          </w:p>
        </w:tc>
        <w:tc>
          <w:tcPr>
            <w:tcW w:w="995" w:type="pct"/>
            <w:vMerge w:val="continue"/>
            <w:shd w:val="clear" w:color="auto" w:fill="FFFFFF"/>
            <w:vAlign w:val="center"/>
          </w:tcPr>
          <w:p>
            <w:pPr>
              <w:jc w:val="left"/>
              <w:rPr>
                <w:rFonts w:ascii="Times New Roman" w:hAnsi="Times New Roman" w:eastAsia="仿宋" w:cs="Times New Roman"/>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ZH22082220004</w:t>
            </w:r>
          </w:p>
        </w:tc>
        <w:tc>
          <w:tcPr>
            <w:tcW w:w="562"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通榆县水环境农业污染重点管控区</w:t>
            </w:r>
          </w:p>
        </w:tc>
        <w:tc>
          <w:tcPr>
            <w:tcW w:w="354"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规模化畜禽养殖场（小区）应当保证畜禽粪污无害化处理和资源化利用设施的正常运转。散养密集区要实行畜禽粪便污水分户收集、集中处理利用。</w:t>
            </w:r>
          </w:p>
        </w:tc>
        <w:tc>
          <w:tcPr>
            <w:tcW w:w="99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水环境农业污染重点管控区</w:t>
            </w:r>
          </w:p>
          <w:p>
            <w:pPr>
              <w:jc w:val="left"/>
              <w:rPr>
                <w:rFonts w:ascii="Times New Roman" w:hAnsi="Times New Roman" w:eastAsia="仿宋" w:cs="Times New Roman"/>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2"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ZH22082230001</w:t>
            </w:r>
          </w:p>
        </w:tc>
        <w:tc>
          <w:tcPr>
            <w:tcW w:w="562"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通榆县一般管控区</w:t>
            </w:r>
          </w:p>
        </w:tc>
        <w:tc>
          <w:tcPr>
            <w:tcW w:w="354"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3-一般管控</w:t>
            </w:r>
          </w:p>
        </w:tc>
        <w:tc>
          <w:tcPr>
            <w:tcW w:w="42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186"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95"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bl>
    <w:p>
      <w:pPr>
        <w:pStyle w:val="7"/>
        <w:ind w:firstLine="480"/>
        <w:rPr>
          <w:rFonts w:ascii="Times New Roman" w:hAnsi="Times New Roman" w:eastAsia="仿宋"/>
          <w:color w:val="FF0000"/>
        </w:rPr>
      </w:pPr>
    </w:p>
    <w:p>
      <w:pPr>
        <w:keepNext/>
        <w:keepLines/>
        <w:spacing w:before="260" w:after="260"/>
        <w:outlineLvl w:val="1"/>
        <w:rPr>
          <w:rFonts w:ascii="Times New Roman" w:hAnsi="Times New Roman" w:eastAsia="仿宋" w:cs="Times New Roman"/>
          <w:b/>
          <w:bCs/>
          <w:sz w:val="32"/>
          <w:szCs w:val="32"/>
        </w:rPr>
      </w:pPr>
      <w:bookmarkStart w:id="140" w:name="_Toc21859"/>
      <w:r>
        <w:rPr>
          <w:rFonts w:ascii="Times New Roman" w:hAnsi="Times New Roman" w:eastAsia="仿宋" w:cs="Times New Roman"/>
          <w:b/>
          <w:bCs/>
          <w:sz w:val="32"/>
          <w:szCs w:val="32"/>
        </w:rPr>
        <w:t>（五十）白城市洮南市生态环境准入清单</w:t>
      </w:r>
      <w:bookmarkEnd w:id="140"/>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表4-58-1 白城市</w:t>
      </w:r>
      <w:r>
        <w:rPr>
          <w:rFonts w:ascii="Times New Roman" w:hAnsi="Times New Roman" w:eastAsia="仿宋" w:cs="Times New Roman"/>
          <w:b/>
          <w:bCs/>
          <w:kern w:val="0"/>
          <w:sz w:val="24"/>
          <w:szCs w:val="24"/>
        </w:rPr>
        <w:t>洮南市</w:t>
      </w:r>
      <w:r>
        <w:rPr>
          <w:rFonts w:ascii="Times New Roman" w:hAnsi="Times New Roman" w:eastAsia="仿宋" w:cs="Times New Roman"/>
          <w:b/>
          <w:kern w:val="0"/>
          <w:sz w:val="24"/>
          <w:szCs w:val="24"/>
        </w:rPr>
        <w:t>区域特征研判</w:t>
      </w:r>
    </w:p>
    <w:tbl>
      <w:tblPr>
        <w:tblStyle w:val="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3"/>
        <w:gridCol w:w="6626"/>
        <w:gridCol w:w="4726"/>
        <w:gridCol w:w="4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6"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numPr>
                <w:ilvl w:val="0"/>
                <w:numId w:val="5"/>
              </w:numPr>
              <w:rPr>
                <w:rFonts w:ascii="Times New Roman" w:hAnsi="Times New Roman" w:eastAsia="仿宋" w:cs="Times New Roman"/>
                <w:kern w:val="0"/>
                <w:szCs w:val="21"/>
              </w:rPr>
            </w:pPr>
            <w:r>
              <w:rPr>
                <w:rFonts w:ascii="Times New Roman" w:hAnsi="Times New Roman" w:eastAsia="仿宋" w:cs="Times New Roman"/>
                <w:kern w:val="0"/>
                <w:szCs w:val="21"/>
              </w:rPr>
              <w:t>《吉林省主体功能区规划》中的农产品主产区。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白城市代管县级市，位于吉林省西北端，省会长春市西南部，总面积5107平方公里。辖8个街道、6个镇、10个乡。</w:t>
            </w:r>
          </w:p>
          <w:p>
            <w:pPr>
              <w:rPr>
                <w:rFonts w:ascii="Times New Roman" w:hAnsi="Times New Roman" w:eastAsia="仿宋" w:cs="Times New Roman"/>
                <w:kern w:val="0"/>
                <w:szCs w:val="21"/>
              </w:rPr>
            </w:pPr>
          </w:p>
        </w:tc>
        <w:tc>
          <w:tcPr>
            <w:tcW w:w="1566"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在吉林省西部生态经济区中承载着大兴安岭生态屏障建设、吉林省西部草原生态保护和修复、绿色高质高效农业生态区建设的重任，借助吉林省西部生态经济区战略实施的契机，构建吉林省西部生态经济发展支撑区。</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建成吉林省西部重要的医药健康、纺织服装、特色农畜产品精深加工、冶金制造和绿色能源开发、装备制造、化学化工、绿色家居、生态旅游9大工业创新发展示范区。</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将肉牛、辣椒、杂粮杂豆、西瓜、水稻、粉条、油葵、蓖麻等特色农畜产品资源优势转化为产业优势，用工业化思维谋划农业发展，遵循市场导向、龙头带动、城乡互动的原则，强龙头、壮基地、活贸易，深度开发具有洮南特色和较好市场前景的“新、特、优”农产品，打造特色农畜产品生产加工集聚区。</w:t>
            </w:r>
          </w:p>
        </w:tc>
        <w:tc>
          <w:tcPr>
            <w:tcW w:w="1117"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草场退化、沙化。</w:t>
            </w:r>
          </w:p>
          <w:p>
            <w:pPr>
              <w:rPr>
                <w:rFonts w:ascii="Times New Roman" w:hAnsi="Times New Roman" w:eastAsia="仿宋" w:cs="Times New Roman"/>
                <w:bCs/>
                <w:kern w:val="0"/>
                <w:szCs w:val="21"/>
              </w:rPr>
            </w:pP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1.重点保护：吉林洮南四海湖国家湿地公园、国家级公益林</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）加强草原、沙地、盐碱地的修复和保护。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表4-58-2 白城市</w:t>
      </w:r>
      <w:r>
        <w:rPr>
          <w:rFonts w:ascii="Times New Roman" w:hAnsi="Times New Roman" w:eastAsia="仿宋" w:cs="Times New Roman"/>
          <w:b/>
          <w:bCs/>
          <w:kern w:val="0"/>
          <w:sz w:val="24"/>
          <w:szCs w:val="24"/>
        </w:rPr>
        <w:t>洮南市</w:t>
      </w:r>
      <w:r>
        <w:rPr>
          <w:rFonts w:ascii="Times New Roman" w:hAnsi="Times New Roman" w:eastAsia="仿宋" w:cs="Times New Roman"/>
          <w:b/>
          <w:kern w:val="0"/>
          <w:sz w:val="24"/>
          <w:szCs w:val="24"/>
        </w:rPr>
        <w:t>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59"/>
        <w:gridCol w:w="2195"/>
        <w:gridCol w:w="1785"/>
        <w:gridCol w:w="1798"/>
        <w:gridCol w:w="9522"/>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519"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422"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25"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251"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18"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ZH22088110001</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吉林洮南四海湖国家湿地公园</w:t>
            </w:r>
          </w:p>
        </w:tc>
        <w:tc>
          <w:tcPr>
            <w:tcW w:w="422"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湿地公园</w:t>
            </w:r>
            <w:r>
              <w:rPr>
                <w:rFonts w:hint="eastAsia" w:ascii="Times New Roman" w:hAnsi="Times New Roman" w:eastAsia="仿宋" w:cs="Times New Roman"/>
                <w:sz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ZH22088110002</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洮南市国家级公益林</w:t>
            </w:r>
          </w:p>
        </w:tc>
        <w:tc>
          <w:tcPr>
            <w:tcW w:w="422"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hint="eastAsia" w:ascii="Times New Roman" w:hAnsi="Times New Roman" w:eastAsia="仿宋" w:cs="Times New Roman"/>
                <w:sz w:val="20"/>
                <w:szCs w:val="21"/>
              </w:rPr>
              <w:t>2</w:t>
            </w:r>
            <w:r>
              <w:rPr>
                <w:rFonts w:ascii="Times New Roman" w:hAnsi="Times New Roman" w:eastAsia="仿宋" w:cs="Times New Roman"/>
                <w:sz w:val="20"/>
                <w:szCs w:val="21"/>
              </w:rPr>
              <w:t>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tc>
        <w:tc>
          <w:tcPr>
            <w:tcW w:w="918" w:type="pct"/>
            <w:shd w:val="clear" w:color="auto" w:fill="FFFFFF"/>
            <w:vAlign w:val="center"/>
          </w:tcPr>
          <w:p>
            <w:pPr>
              <w:rPr>
                <w:rFonts w:ascii="Times New Roman" w:hAnsi="Times New Roman" w:eastAsia="仿宋" w:cs="Times New Roman"/>
                <w:b/>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ZH22088110003</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洮南市防风固沙重要区</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防风固沙、盐渍化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ZH22088110004</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洮南市水源涵养功能生态保护红线</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ZH22088110005</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洮南市水源涵养功能重要区</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18"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水源涵养、盐渍化、水土流失、土地沙化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ZH22088110006</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洮南市生物多样性维护功能生态保护红线</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ZH22088110007</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洮南市生物多样性重要区</w:t>
            </w:r>
          </w:p>
        </w:tc>
        <w:tc>
          <w:tcPr>
            <w:tcW w:w="422"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5"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ZH22088110008</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洮南市水土流失敏感区</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7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水土流失、盐渍化、土地沙化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ZH22088110009</w:t>
            </w:r>
          </w:p>
        </w:tc>
        <w:tc>
          <w:tcPr>
            <w:tcW w:w="519"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洮南市盐渍化敏感区</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18" w:type="pct"/>
            <w:shd w:val="clear" w:color="auto" w:fill="FFFFFF"/>
            <w:vAlign w:val="center"/>
          </w:tcPr>
          <w:p>
            <w:pPr>
              <w:jc w:val="left"/>
              <w:rPr>
                <w:rFonts w:ascii="Times New Roman" w:hAnsi="Times New Roman" w:eastAsia="仿宋" w:cs="Times New Roman"/>
                <w:b/>
                <w:bCs/>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sz w:val="20"/>
              </w:rPr>
              <w:t>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ZH22088120001</w:t>
            </w:r>
          </w:p>
        </w:tc>
        <w:tc>
          <w:tcPr>
            <w:tcW w:w="519"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吉林洮南经济开发区</w:t>
            </w:r>
          </w:p>
        </w:tc>
        <w:tc>
          <w:tcPr>
            <w:tcW w:w="422" w:type="pct"/>
            <w:vMerge w:val="restart"/>
            <w:shd w:val="clear" w:color="auto" w:fill="FFFFFF"/>
            <w:vAlign w:val="center"/>
          </w:tcPr>
          <w:p>
            <w:pPr>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1对于国家产业政策中的限制类项目，能耗大、物耗大、大气及水环境污染严重的项目，或不是构成开发区循环经济产业链的组成部分的项目，开发区应限制其入区。</w:t>
            </w:r>
          </w:p>
          <w:p>
            <w:pPr>
              <w:rPr>
                <w:rFonts w:ascii="Times New Roman" w:hAnsi="Times New Roman" w:eastAsia="仿宋" w:cs="Times New Roman"/>
                <w:sz w:val="20"/>
                <w:szCs w:val="21"/>
              </w:rPr>
            </w:pPr>
            <w:r>
              <w:rPr>
                <w:rFonts w:ascii="Times New Roman" w:hAnsi="Times New Roman" w:eastAsia="仿宋" w:cs="Times New Roman"/>
                <w:sz w:val="20"/>
                <w:szCs w:val="21"/>
              </w:rPr>
              <w:t>2视资源承载能力，适当限制高耗能、高耗水、高污染的企业入区。</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3限制排放重金属的企业入区。</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5禁止在化工园区外新建、扩建化工项目，未纳入国家《石化产业规划布局方案》的新建炼化项目一律不得建设。</w:t>
            </w:r>
          </w:p>
        </w:tc>
        <w:tc>
          <w:tcPr>
            <w:tcW w:w="918" w:type="pct"/>
            <w:vMerge w:val="restart"/>
            <w:shd w:val="clear" w:color="auto" w:fill="FFFFFF"/>
            <w:vAlign w:val="center"/>
          </w:tcPr>
          <w:p>
            <w:pPr>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大气环境高排放重点管控区、水环境工业污染重点管控区、建设用地污染风险重点管控区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化工、皮革加工、机械加工、现代农业加工、医药研制、制造加工、现代物流、高新技术和轻工产业</w:t>
            </w:r>
          </w:p>
          <w:p>
            <w:pPr>
              <w:jc w:val="left"/>
              <w:rPr>
                <w:rFonts w:ascii="Times New Roman" w:hAnsi="Times New Roman" w:eastAsia="仿宋" w:cs="Times New Roman"/>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rPr>
              <w:t>园区规划环评、</w:t>
            </w:r>
            <w:r>
              <w:rPr>
                <w:rFonts w:ascii="Times New Roman" w:hAnsi="Times New Roman" w:eastAsia="仿宋" w:cs="Times New Roman"/>
                <w:sz w:val="20"/>
                <w:szCs w:val="21"/>
              </w:rPr>
              <w:t>《企业事业单位突发环境事件应急预案备案管理办法（试行）》《污染地块土壤环境管理办法（试行）》《土壤污染防治行动计划》《工矿用地土壤环境管理办法（试行）》《中共吉林省委 吉林省人民政府关于深入打好污染防治攻坚战的实施意见》</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《吉林省减污降碳协同增效实施方案》《吉林省“十四五”节能减排综合实施方案》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sz w:val="20"/>
              </w:rPr>
            </w:pPr>
          </w:p>
        </w:tc>
        <w:tc>
          <w:tcPr>
            <w:tcW w:w="519" w:type="pct"/>
            <w:vMerge w:val="continue"/>
            <w:shd w:val="clear" w:color="auto" w:fill="FFFFFF"/>
            <w:vAlign w:val="center"/>
          </w:tcPr>
          <w:p>
            <w:pPr>
              <w:rPr>
                <w:rFonts w:ascii="Times New Roman" w:hAnsi="Times New Roman" w:eastAsia="仿宋" w:cs="Times New Roman"/>
                <w:sz w:val="20"/>
              </w:rPr>
            </w:pPr>
          </w:p>
        </w:tc>
        <w:tc>
          <w:tcPr>
            <w:tcW w:w="422" w:type="pct"/>
            <w:vMerge w:val="continue"/>
            <w:shd w:val="clear" w:color="auto" w:fill="FFFFFF"/>
            <w:vAlign w:val="center"/>
          </w:tcPr>
          <w:p>
            <w:pPr>
              <w:jc w:val="left"/>
              <w:rPr>
                <w:rFonts w:ascii="Times New Roman" w:hAnsi="Times New Roman" w:eastAsia="仿宋" w:cs="Times New Roman"/>
                <w:sz w:val="20"/>
              </w:rPr>
            </w:pPr>
          </w:p>
        </w:tc>
        <w:tc>
          <w:tcPr>
            <w:tcW w:w="425"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2重点行业污染治理升级改造，推进各类园区循环化改造。</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3一体推进重点行业大气污染深度治理与节能降碳，推动重点行业、重点领域氮氧化物减排，探索开展大气污染物与温室气体排放协同控制改造提升工程试点。</w:t>
            </w:r>
            <w:r>
              <w:rPr>
                <w:rFonts w:ascii="Times New Roman" w:hAnsi="Times New Roman" w:eastAsia="仿宋" w:cs="Times New Roman"/>
                <w:sz w:val="20"/>
                <w:szCs w:val="20"/>
              </w:rPr>
              <w:tab/>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4执行《吉林省新污染物治理实施方案》相关要求，加强新污染物多环境介质协同治理，全面强化清洁生产和绿色制造。</w:t>
            </w:r>
          </w:p>
        </w:tc>
        <w:tc>
          <w:tcPr>
            <w:tcW w:w="918"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szCs w:val="21"/>
              </w:rPr>
            </w:pPr>
          </w:p>
        </w:tc>
        <w:tc>
          <w:tcPr>
            <w:tcW w:w="519" w:type="pct"/>
            <w:vMerge w:val="continue"/>
            <w:shd w:val="clear" w:color="auto" w:fill="FFFFFF"/>
            <w:vAlign w:val="center"/>
          </w:tcPr>
          <w:p>
            <w:pPr>
              <w:rPr>
                <w:rFonts w:ascii="Times New Roman" w:hAnsi="Times New Roman" w:eastAsia="仿宋" w:cs="Times New Roman"/>
                <w:color w:val="FF0000"/>
                <w:sz w:val="20"/>
                <w:szCs w:val="21"/>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szCs w:val="21"/>
              </w:rPr>
            </w:pP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4土壤环境污染重点监管企业、危化品仓储企业落实《工矿用地土壤环境管理办法（试行）》要求，实施项目环评、设计建设、拆除设施、终止经营全生命周期土壤和地下水污染防治。</w:t>
            </w:r>
          </w:p>
        </w:tc>
        <w:tc>
          <w:tcPr>
            <w:tcW w:w="91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1推广园区集中供热，园区新建供热设施须执行排放浓度限值。</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2完成吉林省下达的产能置换要求。各产业执行对应的清洁生产标准。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3促进再生水的利用。加强工业节水及循环利用、促进城镇节水、加大农业节水力度；在优先保障生活取水和生态用水的前提下，严格按照用水总量控制红线，控制工业和农业生产取水量。</w:t>
            </w:r>
          </w:p>
        </w:tc>
        <w:tc>
          <w:tcPr>
            <w:tcW w:w="91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ZH22088120002</w:t>
            </w:r>
          </w:p>
        </w:tc>
        <w:tc>
          <w:tcPr>
            <w:tcW w:w="519"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洮南市城镇开发边界</w:t>
            </w:r>
          </w:p>
        </w:tc>
        <w:tc>
          <w:tcPr>
            <w:tcW w:w="422"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3除在安全或者产业布局等方面有特殊要求的项目外，应避免大规模排放水污染物的项目布局建设。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4中心城区东南部以在现状开发区的基础上整合发展，主导产业为食品加工、纺织业、医药制造业和新能源产业。东北部以高科技高附加值的新兴产业为主，主导产业为精细化制造和电子信息技术。</w:t>
            </w:r>
          </w:p>
        </w:tc>
        <w:tc>
          <w:tcPr>
            <w:tcW w:w="918" w:type="pct"/>
            <w:vMerge w:val="restart"/>
            <w:shd w:val="clear" w:color="auto" w:fill="FFFFFF"/>
            <w:vAlign w:val="center"/>
          </w:tcPr>
          <w:p>
            <w:pPr>
              <w:jc w:val="left"/>
              <w:rPr>
                <w:rFonts w:ascii="Times New Roman" w:hAnsi="Times New Roman" w:eastAsia="仿宋" w:cs="Times New Roman"/>
                <w:sz w:val="20"/>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大气环境受体敏感重点管控区、水环境城镇生活污染重点管控区、建设用地污染风险重点管控区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rPr>
              <w:t>发展定位：</w:t>
            </w:r>
            <w:r>
              <w:rPr>
                <w:rFonts w:ascii="Times New Roman" w:hAnsi="Times New Roman" w:eastAsia="仿宋" w:cs="Times New Roman"/>
                <w:sz w:val="20"/>
              </w:rPr>
              <w:t>吉林省西部次中心城市，以农产品加工和其它绿色产业为主导的宜居城市</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《关于开展畜禽养殖禁养区划定工作的通知》《畜禽规模养殖污染防治条例》《吉林省生态环境保护“十四五”规划》《中共吉林省委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加大燃煤锅炉达标排放监管力度，推进清洁燃料供应体系建设，加快淘汰老旧车辆，加强城区建筑施工场所扬尘污染整治，</w:t>
            </w:r>
            <w:r>
              <w:rPr>
                <w:rFonts w:hint="eastAsia" w:ascii="Times New Roman" w:hAnsi="Times New Roman" w:eastAsia="仿宋" w:cs="Times New Roman"/>
                <w:sz w:val="20"/>
                <w:szCs w:val="21"/>
              </w:rPr>
              <w:t>加强对餐饮服务业油烟污染监管</w:t>
            </w:r>
            <w:r>
              <w:rPr>
                <w:rFonts w:ascii="Times New Roman" w:hAnsi="Times New Roman" w:eastAsia="仿宋" w:cs="Times New Roman"/>
                <w:sz w:val="20"/>
                <w:szCs w:val="21"/>
              </w:rPr>
              <w:t>，强化对加油站、储油库、油罐车等油气回收设施运行监管。</w:t>
            </w:r>
          </w:p>
        </w:tc>
        <w:tc>
          <w:tcPr>
            <w:tcW w:w="91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除在安全或者产业布局等方面有特殊要求的项目外，应严格控制新建、扩建采用高污染燃料的项目和设施。</w:t>
            </w:r>
          </w:p>
        </w:tc>
        <w:tc>
          <w:tcPr>
            <w:tcW w:w="918"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ZH22088120003</w:t>
            </w:r>
          </w:p>
        </w:tc>
        <w:tc>
          <w:tcPr>
            <w:tcW w:w="519"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洮南市大气环境高排放重点管控区</w:t>
            </w:r>
          </w:p>
        </w:tc>
        <w:tc>
          <w:tcPr>
            <w:tcW w:w="422"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5"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18"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大气环境高排放重点管控区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5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1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ZH22088120004</w:t>
            </w:r>
          </w:p>
        </w:tc>
        <w:tc>
          <w:tcPr>
            <w:tcW w:w="519"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洮南市大气环境布局敏感重点管控区</w:t>
            </w:r>
          </w:p>
        </w:tc>
        <w:tc>
          <w:tcPr>
            <w:tcW w:w="422"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5"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18" w:type="pct"/>
            <w:vMerge w:val="restart"/>
            <w:shd w:val="clear" w:color="auto" w:fill="FFFFFF"/>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大气环境布局敏感重点管控区</w:t>
            </w:r>
          </w:p>
          <w:p>
            <w:pPr>
              <w:jc w:val="left"/>
              <w:rPr>
                <w:rFonts w:ascii="Times New Roman" w:hAnsi="Times New Roman" w:eastAsia="仿宋" w:cs="Times New Roman"/>
                <w:b/>
                <w:bCs/>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1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vMerge w:val="continue"/>
            <w:shd w:val="clear" w:color="auto" w:fill="FFFFFF"/>
            <w:vAlign w:val="center"/>
          </w:tcPr>
          <w:p>
            <w:pPr>
              <w:rPr>
                <w:rFonts w:ascii="Times New Roman" w:hAnsi="Times New Roman" w:eastAsia="仿宋" w:cs="Times New Roman"/>
                <w:color w:val="FF0000"/>
                <w:sz w:val="20"/>
              </w:rPr>
            </w:pPr>
          </w:p>
        </w:tc>
        <w:tc>
          <w:tcPr>
            <w:tcW w:w="519" w:type="pct"/>
            <w:vMerge w:val="continue"/>
            <w:shd w:val="clear" w:color="auto" w:fill="FFFFFF"/>
            <w:vAlign w:val="center"/>
          </w:tcPr>
          <w:p>
            <w:pPr>
              <w:rPr>
                <w:rFonts w:ascii="Times New Roman" w:hAnsi="Times New Roman" w:eastAsia="仿宋" w:cs="Times New Roman"/>
                <w:color w:val="FF0000"/>
                <w:sz w:val="20"/>
              </w:rPr>
            </w:pPr>
          </w:p>
        </w:tc>
        <w:tc>
          <w:tcPr>
            <w:tcW w:w="422"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5"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51" w:type="pct"/>
            <w:shd w:val="clear" w:color="auto" w:fill="FFFFFF"/>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18"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ZH22088120005</w:t>
            </w:r>
          </w:p>
        </w:tc>
        <w:tc>
          <w:tcPr>
            <w:tcW w:w="519"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洮南市水环境农业污染重点管控区</w:t>
            </w:r>
          </w:p>
        </w:tc>
        <w:tc>
          <w:tcPr>
            <w:tcW w:w="422"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规模化畜禽养殖场（小区）应当保证畜禽粪污无害化处理和资源化利用设施的正常运转。散养密集区要实行畜禽粪便污水分户收集、集中处理利用。</w:t>
            </w:r>
          </w:p>
        </w:tc>
        <w:tc>
          <w:tcPr>
            <w:tcW w:w="918"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水环境农业污染重点管控区</w:t>
            </w:r>
          </w:p>
          <w:p>
            <w:pPr>
              <w:jc w:val="left"/>
              <w:rPr>
                <w:rFonts w:ascii="Times New Roman" w:hAnsi="Times New Roman" w:eastAsia="仿宋" w:cs="Times New Roman"/>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3"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ZH22088130001</w:t>
            </w:r>
          </w:p>
        </w:tc>
        <w:tc>
          <w:tcPr>
            <w:tcW w:w="519"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洮南市一般管控区</w:t>
            </w:r>
          </w:p>
        </w:tc>
        <w:tc>
          <w:tcPr>
            <w:tcW w:w="422"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3-一般管控</w:t>
            </w:r>
          </w:p>
        </w:tc>
        <w:tc>
          <w:tcPr>
            <w:tcW w:w="425"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5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8"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bl>
    <w:p>
      <w:pPr>
        <w:jc w:val="center"/>
        <w:rPr>
          <w:rFonts w:ascii="Times New Roman" w:hAnsi="Times New Roman" w:eastAsia="仿宋" w:cs="Times New Roman"/>
          <w:b/>
          <w:color w:val="FF0000"/>
          <w:szCs w:val="21"/>
        </w:rPr>
      </w:pPr>
    </w:p>
    <w:p>
      <w:pPr>
        <w:keepNext/>
        <w:keepLines/>
        <w:spacing w:before="260" w:after="260"/>
        <w:outlineLvl w:val="1"/>
        <w:rPr>
          <w:rFonts w:ascii="Times New Roman" w:hAnsi="Times New Roman" w:eastAsia="仿宋" w:cs="Times New Roman"/>
          <w:b/>
          <w:bCs/>
          <w:sz w:val="32"/>
          <w:szCs w:val="32"/>
        </w:rPr>
      </w:pPr>
      <w:bookmarkStart w:id="141" w:name="_Toc14219"/>
      <w:r>
        <w:rPr>
          <w:rFonts w:ascii="Times New Roman" w:hAnsi="Times New Roman" w:eastAsia="仿宋" w:cs="Times New Roman"/>
          <w:b/>
          <w:bCs/>
          <w:sz w:val="32"/>
          <w:szCs w:val="32"/>
        </w:rPr>
        <w:t>（五十</w:t>
      </w:r>
      <w:r>
        <w:rPr>
          <w:rFonts w:hint="eastAsia" w:ascii="Times New Roman" w:hAnsi="Times New Roman" w:eastAsia="仿宋" w:cs="Times New Roman"/>
          <w:b/>
          <w:bCs/>
          <w:sz w:val="32"/>
          <w:szCs w:val="32"/>
        </w:rPr>
        <w:t>一</w:t>
      </w:r>
      <w:r>
        <w:rPr>
          <w:rFonts w:ascii="Times New Roman" w:hAnsi="Times New Roman" w:eastAsia="仿宋" w:cs="Times New Roman"/>
          <w:b/>
          <w:bCs/>
          <w:sz w:val="32"/>
          <w:szCs w:val="32"/>
        </w:rPr>
        <w:t>） 白城市大安市生态环境准入清单</w:t>
      </w:r>
      <w:bookmarkEnd w:id="141"/>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表4-59-1 白城市</w:t>
      </w:r>
      <w:r>
        <w:rPr>
          <w:rFonts w:ascii="Times New Roman" w:hAnsi="Times New Roman" w:eastAsia="仿宋" w:cs="Times New Roman"/>
          <w:b/>
          <w:bCs/>
          <w:kern w:val="0"/>
          <w:sz w:val="24"/>
          <w:szCs w:val="24"/>
        </w:rPr>
        <w:t>大安市</w:t>
      </w:r>
      <w:r>
        <w:rPr>
          <w:rFonts w:ascii="Times New Roman" w:hAnsi="Times New Roman" w:eastAsia="仿宋" w:cs="Times New Roman"/>
          <w:b/>
          <w:kern w:val="0"/>
          <w:sz w:val="24"/>
          <w:szCs w:val="24"/>
        </w:rPr>
        <w:t>区域特征研判</w:t>
      </w:r>
    </w:p>
    <w:tbl>
      <w:tblPr>
        <w:tblStyle w:val="2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03"/>
        <w:gridCol w:w="6626"/>
        <w:gridCol w:w="4726"/>
        <w:gridCol w:w="4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7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566"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1117"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38" w:type="pct"/>
            <w:shd w:val="clear" w:color="auto" w:fill="FFFFFF"/>
            <w:vAlign w:val="center"/>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6" w:hRule="atLeast"/>
        </w:trPr>
        <w:tc>
          <w:tcPr>
            <w:tcW w:w="1277" w:type="pct"/>
            <w:shd w:val="clear" w:color="auto" w:fill="FFFFFF"/>
            <w:vAlign w:val="center"/>
          </w:tcPr>
          <w:p>
            <w:pPr>
              <w:tabs>
                <w:tab w:val="left" w:pos="312"/>
              </w:tabs>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tabs>
                <w:tab w:val="left" w:pos="312"/>
              </w:tabs>
              <w:rPr>
                <w:rFonts w:ascii="Times New Roman" w:hAnsi="Times New Roman" w:eastAsia="仿宋" w:cs="Times New Roman"/>
                <w:kern w:val="0"/>
                <w:szCs w:val="21"/>
              </w:rPr>
            </w:pPr>
            <w:r>
              <w:rPr>
                <w:rFonts w:ascii="Times New Roman" w:hAnsi="Times New Roman" w:eastAsia="仿宋" w:cs="Times New Roman"/>
                <w:kern w:val="0"/>
                <w:szCs w:val="21"/>
              </w:rPr>
              <w:t>2.吉林省省级全域旅游示范区</w:t>
            </w:r>
          </w:p>
          <w:p>
            <w:pPr>
              <w:rPr>
                <w:rFonts w:ascii="Times New Roman" w:hAnsi="Times New Roman" w:eastAsia="仿宋" w:cs="Times New Roman"/>
                <w:kern w:val="0"/>
                <w:szCs w:val="21"/>
              </w:rPr>
            </w:pPr>
            <w:r>
              <w:rPr>
                <w:rFonts w:ascii="Times New Roman" w:hAnsi="Times New Roman" w:eastAsia="仿宋" w:cs="Times New Roman"/>
                <w:kern w:val="0"/>
                <w:szCs w:val="21"/>
              </w:rPr>
              <w:t>3.白城市代管县级市， 位于吉林省西北部，白城市东面，总面积4879平方公里。辖10个镇8个乡。</w:t>
            </w:r>
          </w:p>
          <w:p>
            <w:pPr>
              <w:rPr>
                <w:rFonts w:ascii="Times New Roman" w:hAnsi="Times New Roman" w:eastAsia="仿宋" w:cs="Times New Roman"/>
                <w:kern w:val="0"/>
                <w:szCs w:val="21"/>
              </w:rPr>
            </w:pPr>
          </w:p>
        </w:tc>
        <w:tc>
          <w:tcPr>
            <w:tcW w:w="1566"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重点推进煤化工、石油开发及石油机械制造、风电开发及风电设备制造、农副产品加工等产业转型升级，努力打造吉林新型工业城。</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以嫩江水源为依托，引水入城、引水入湖。打造“一江环绕、五湖相拥”，城在水中、水在城内、水城相映的滨水城市，把大安建成滨江绿色生态城。做好旅游产业开发，创建以“一区两带三镇一场”为主的省级全域旅游示范区。</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开发特色旅游品牌，推进生态与文化相融合、促进观光与休闲相结合，全方位提升旅游品质，打响大安旅游品牌。</w:t>
            </w:r>
          </w:p>
        </w:tc>
        <w:tc>
          <w:tcPr>
            <w:tcW w:w="1117"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土地盐碱化；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湿地功能退化；</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草场退化、沙化。</w:t>
            </w:r>
          </w:p>
          <w:p>
            <w:pPr>
              <w:rPr>
                <w:rFonts w:ascii="Times New Roman" w:hAnsi="Times New Roman" w:eastAsia="仿宋" w:cs="Times New Roman"/>
                <w:bCs/>
                <w:kern w:val="0"/>
                <w:szCs w:val="21"/>
              </w:rPr>
            </w:pPr>
          </w:p>
        </w:tc>
        <w:tc>
          <w:tcPr>
            <w:tcW w:w="1038" w:type="pct"/>
            <w:shd w:val="clear" w:color="auto" w:fill="FFFFFF"/>
            <w:vAlign w:val="center"/>
          </w:tcPr>
          <w:p>
            <w:pPr>
              <w:rPr>
                <w:rFonts w:ascii="Times New Roman" w:hAnsi="Times New Roman" w:eastAsia="仿宋" w:cs="Times New Roman"/>
                <w:bCs/>
                <w:kern w:val="0"/>
                <w:szCs w:val="21"/>
              </w:rPr>
            </w:pPr>
            <w:r>
              <w:rPr>
                <w:rFonts w:ascii="Times New Roman" w:hAnsi="Times New Roman" w:eastAsia="仿宋" w:cs="Times New Roman"/>
                <w:bCs/>
                <w:kern w:val="0"/>
                <w:szCs w:val="21"/>
              </w:rPr>
              <w:t>1.重点保护：</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吉林查干湖国家级自然保护区、吉林大安嫩江湾国家湿地公园、吉林大安龙泉省级湿地公园、吉林大安牛心套保国家湿地公园、嫩江大安段乌苏里拟鲿国家级水产种质资源保护区、月亮湖国家级水产种质资源保护区</w:t>
            </w:r>
            <w:r>
              <w:rPr>
                <w:rFonts w:hint="eastAsia" w:ascii="Times New Roman" w:hAnsi="Times New Roman" w:eastAsia="仿宋" w:cs="Times New Roman"/>
                <w:bCs/>
                <w:kern w:val="0"/>
                <w:szCs w:val="21"/>
              </w:rPr>
              <w:t>、</w:t>
            </w:r>
            <w:r>
              <w:rPr>
                <w:rFonts w:ascii="Times New Roman" w:hAnsi="Times New Roman" w:eastAsia="仿宋" w:cs="Times New Roman"/>
                <w:bCs/>
                <w:kern w:val="0"/>
                <w:szCs w:val="21"/>
              </w:rPr>
              <w:t>大安牛心套保湿地、国家级公益林</w:t>
            </w:r>
            <w:r>
              <w:rPr>
                <w:rFonts w:hint="eastAsia" w:ascii="Times New Roman" w:hAnsi="Times New Roman" w:eastAsia="仿宋" w:cs="Times New Roman"/>
                <w:bCs/>
                <w:kern w:val="0"/>
                <w:szCs w:val="21"/>
              </w:rPr>
              <w:t>。</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2.重点解决问题</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（1）确保人类开发活动不挤占耕地。</w:t>
            </w:r>
          </w:p>
          <w:p>
            <w:pPr>
              <w:rPr>
                <w:rFonts w:ascii="Times New Roman" w:hAnsi="Times New Roman" w:eastAsia="仿宋" w:cs="Times New Roman"/>
                <w:bCs/>
                <w:kern w:val="0"/>
                <w:szCs w:val="21"/>
              </w:rPr>
            </w:pPr>
            <w:r>
              <w:rPr>
                <w:rFonts w:ascii="Times New Roman" w:hAnsi="Times New Roman" w:eastAsia="仿宋" w:cs="Times New Roman"/>
                <w:bCs/>
                <w:kern w:val="0"/>
                <w:szCs w:val="21"/>
              </w:rPr>
              <w:t>（</w:t>
            </w:r>
            <w:r>
              <w:rPr>
                <w:rFonts w:hint="eastAsia" w:ascii="Times New Roman" w:hAnsi="Times New Roman" w:eastAsia="仿宋" w:cs="Times New Roman"/>
                <w:bCs/>
                <w:kern w:val="0"/>
                <w:szCs w:val="21"/>
              </w:rPr>
              <w:t>2</w:t>
            </w:r>
            <w:r>
              <w:rPr>
                <w:rFonts w:ascii="Times New Roman" w:hAnsi="Times New Roman" w:eastAsia="仿宋" w:cs="Times New Roman"/>
                <w:bCs/>
                <w:kern w:val="0"/>
                <w:szCs w:val="21"/>
              </w:rPr>
              <w:t>）加强草原、湿地、盐碱地的修复和保护。</w:t>
            </w:r>
          </w:p>
        </w:tc>
      </w:tr>
    </w:tbl>
    <w:p>
      <w:pPr>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表4-59-2 白城市</w:t>
      </w:r>
      <w:r>
        <w:rPr>
          <w:rFonts w:ascii="Times New Roman" w:hAnsi="Times New Roman" w:eastAsia="仿宋" w:cs="Times New Roman"/>
          <w:b/>
          <w:bCs/>
          <w:kern w:val="0"/>
          <w:sz w:val="24"/>
          <w:szCs w:val="24"/>
        </w:rPr>
        <w:t>大安市</w:t>
      </w:r>
      <w:r>
        <w:rPr>
          <w:rFonts w:ascii="Times New Roman" w:hAnsi="Times New Roman" w:eastAsia="仿宋" w:cs="Times New Roman"/>
          <w:b/>
          <w:kern w:val="0"/>
          <w:sz w:val="24"/>
          <w:szCs w:val="24"/>
        </w:rPr>
        <w:t>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980"/>
        <w:gridCol w:w="2353"/>
        <w:gridCol w:w="1506"/>
        <w:gridCol w:w="1781"/>
        <w:gridCol w:w="9609"/>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556"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356" w:type="pct"/>
            <w:shd w:val="clear" w:color="auto" w:fill="FFFFFF"/>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21"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271"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25" w:type="pct"/>
            <w:shd w:val="clear" w:color="auto" w:fill="FFFFFF"/>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ZH22088210001</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吉林查干湖国家级自然保护区</w:t>
            </w:r>
          </w:p>
        </w:tc>
        <w:tc>
          <w:tcPr>
            <w:tcW w:w="3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2生态保护红线内自然保护区执行《中华人民共和国自然保护区条例》《前郭尔罗斯蒙古族自治县查干湖自然保护区管理条例》相关要求。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3生态保护红线内水产种质资源保护区执行《水产种质资源保护区管理办法》相关要求。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4生态保护红线内重要湿地执行《中华人民共和国湿地保护法》《湿地保护管理规定》《吉林省湿地保护条例》《关于特别是作为水禽栖息地的国际重要湿地公约》相关要求。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生态保护红线、大气环境优先保护区、水环境优先保护区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自然保护区、水产种质资源保护区、重要湿地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ZH22088210002</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吉林大安嫩江湾国家湿地公园</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ZH22088210003</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吉林大安龙泉省级湿地公园</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ZH22088210004</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吉林大安牛心套保国家湿地公园</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湿地公园</w:t>
            </w:r>
            <w:r>
              <w:rPr>
                <w:rFonts w:hint="eastAsia" w:ascii="Times New Roman" w:hAnsi="Times New Roman" w:eastAsia="仿宋" w:cs="Times New Roman"/>
                <w:sz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ZH22088210005</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嫩江大安段乌苏里拟鲿国家级水产种质资源保护区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2水产种质资源保护区执行《水产种质资源保护区管理办法》相关要求。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ZH22088210006</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月亮湖国家级水产种质资源保护区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2水产种质资源保护区执行《水产种质资源保护区管理办法》相关要求。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ZH22088210007</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大安牛心套保湿地</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2重要湿地执行《中华人民共和国湿地保护法》《湿地保护管理规定》《吉林省湿地保护条例》《关于特别是作为水禽栖息地的国际重要湿地公约》相关要求。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w:t>
            </w:r>
            <w:r>
              <w:rPr>
                <w:rFonts w:ascii="Times New Roman" w:hAnsi="Times New Roman" w:eastAsia="仿宋" w:cs="Times New Roman"/>
                <w:sz w:val="20"/>
              </w:rPr>
              <w:t>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重要湿地、水源涵养、防风固沙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ZH22088210008</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大安市国家级公益林</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2国家级公益林执行</w:t>
            </w:r>
            <w:r>
              <w:rPr>
                <w:rFonts w:hint="eastAsia" w:ascii="Times New Roman" w:hAnsi="Times New Roman" w:eastAsia="仿宋" w:cs="Times New Roman"/>
                <w:sz w:val="20"/>
                <w:szCs w:val="21"/>
              </w:rPr>
              <w:t>《国家级公益林管理办法》（2017年修订）</w:t>
            </w:r>
            <w:r>
              <w:rPr>
                <w:rFonts w:ascii="Times New Roman" w:hAnsi="Times New Roman" w:eastAsia="仿宋" w:cs="Times New Roman"/>
                <w:sz w:val="20"/>
                <w:szCs w:val="21"/>
              </w:rPr>
              <w:t>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ZH22088210009</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大安市防风固沙重要区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3禁止在沙化土地上砍挖灌木、药材及其他固沙植物。在沙化土地封禁保护区范围内，禁止一切破坏植被的活动。禁止在沙化土地封禁保护区范围内安置移民。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5原则上不再新建各类产业园区，严禁随意扩大现有产业园区范围。以工业为主的产业园区应加快完成园区的循环化改造，鼓励推进低消耗、可循环、少排放的生态型工业区建设。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防风固沙、水源涵养、水土流失、土地沙化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ZH22088210010</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大安市水源涵养功能重要区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w:t>
            </w:r>
          </w:p>
          <w:p>
            <w:pPr>
              <w:rPr>
                <w:rFonts w:ascii="Times New Roman" w:hAnsi="Times New Roman" w:eastAsia="仿宋" w:cs="Times New Roman"/>
                <w:sz w:val="20"/>
                <w:szCs w:val="21"/>
              </w:rPr>
            </w:pPr>
            <w:r>
              <w:rPr>
                <w:rFonts w:ascii="Times New Roman" w:hAnsi="Times New Roman" w:eastAsia="仿宋" w:cs="Times New Roman"/>
                <w:sz w:val="20"/>
                <w:szCs w:val="21"/>
              </w:rPr>
              <w:t>3禁止导致水体污染的产业发展。</w:t>
            </w:r>
          </w:p>
          <w:p>
            <w:pPr>
              <w:rPr>
                <w:rFonts w:ascii="Times New Roman" w:hAnsi="Times New Roman" w:eastAsia="仿宋" w:cs="Times New Roman"/>
                <w:sz w:val="20"/>
                <w:szCs w:val="21"/>
              </w:rPr>
            </w:pPr>
            <w:r>
              <w:rPr>
                <w:rFonts w:ascii="Times New Roman" w:hAnsi="Times New Roman" w:eastAsia="仿宋" w:cs="Times New Roman"/>
                <w:sz w:val="20"/>
                <w:szCs w:val="21"/>
              </w:rPr>
              <w:t>4禁止在沙化土地上砍挖灌木、药材及其他固沙植物。在沙化土地封禁保护区范围内，禁止一切破坏植被的活动。禁止在沙化土地封禁保护区范围内安置移民。</w:t>
            </w:r>
          </w:p>
          <w:p>
            <w:pPr>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6禁止发展高耗水工业。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7原则上不再新建各类产业园区，严禁随意扩大现有产业园区范围。以工业为主的产业园区应加快完成园区的循环化改造，鼓励推进低消耗、可循环、少排放的生态型工业区建设。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8</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9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水源涵养、防风固沙、生物多样性、水土保持、盐渍化、水土流失、土地沙化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ZH22088210011</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大安市生物多样性维护功能生态保护红线</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2生态保护红线内水产种质资源保护区执行《水产种质资源保护区管理办法》相关要求。</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生态保护红线、水环境优先保护区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生物多样性维护、水产种质资源保护区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ZH22088210012</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大安市生物多样性重要区</w:t>
            </w:r>
          </w:p>
        </w:tc>
        <w:tc>
          <w:tcPr>
            <w:tcW w:w="356"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21" w:type="pct"/>
            <w:shd w:val="clear" w:color="auto" w:fill="FFFFFF"/>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1原则上按限制开发区域的要求进行管理。避免开发建设活动损害生态服务功能和生态产品质量。</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4</w:t>
            </w:r>
            <w:r>
              <w:rPr>
                <w:rFonts w:hint="eastAsia" w:ascii="Times New Roman" w:hAnsi="Times New Roman" w:eastAsia="仿宋" w:cs="Times New Roman"/>
                <w:sz w:val="20"/>
                <w:szCs w:val="20"/>
              </w:rPr>
              <w:t>区内不符合主体功能定位的的现有产业</w:t>
            </w:r>
            <w:r>
              <w:rPr>
                <w:rFonts w:ascii="Times New Roman" w:hAnsi="Times New Roman" w:eastAsia="仿宋" w:cs="Times New Roman"/>
                <w:sz w:val="20"/>
                <w:szCs w:val="20"/>
              </w:rPr>
              <w:t>，实施搬迁或关闭。对已造成的污染或损害，应限期治理。</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ZH22088210013</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大安市水土流失敏感区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sz w:val="20"/>
                <w:szCs w:val="21"/>
              </w:rPr>
            </w:pPr>
            <w:r>
              <w:rPr>
                <w:rFonts w:ascii="Times New Roman" w:hAnsi="Times New Roman" w:eastAsia="仿宋" w:cs="Times New Roman"/>
                <w:sz w:val="20"/>
                <w:szCs w:val="21"/>
              </w:rPr>
              <w:t>3禁止发展高耗水工业。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水土流失、盐渍化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ZH22088210014</w:t>
            </w:r>
          </w:p>
        </w:tc>
        <w:tc>
          <w:tcPr>
            <w:tcW w:w="5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大安市盐渍化敏感区</w:t>
            </w:r>
          </w:p>
        </w:tc>
        <w:tc>
          <w:tcPr>
            <w:tcW w:w="356" w:type="pc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1-优先保护</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rPr>
                <w:rFonts w:ascii="Times New Roman" w:hAnsi="Times New Roman" w:eastAsia="仿宋" w:cs="Times New Roman"/>
                <w:sz w:val="20"/>
                <w:szCs w:val="21"/>
              </w:rPr>
            </w:pPr>
            <w:r>
              <w:rPr>
                <w:rFonts w:ascii="Times New Roman" w:hAnsi="Times New Roman" w:eastAsia="仿宋" w:cs="Times New Roman"/>
                <w:sz w:val="20"/>
                <w:szCs w:val="21"/>
              </w:rPr>
              <w:t>2禁止发展高耗水工业。</w:t>
            </w:r>
          </w:p>
          <w:p>
            <w:pPr>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适度有序开发风电。推进西部已规划风电场的续建项目，开发过程应注意分散式风电项目不得占用永久基本农田。对于占用其他类型土地的，应依法办理建设用地审批手续。风电项目的建设不得破坏生态环境敏感区环境。</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一般生态空间</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rPr>
              <w:t>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ZH22088220001</w:t>
            </w:r>
          </w:p>
        </w:tc>
        <w:tc>
          <w:tcPr>
            <w:tcW w:w="556"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吉林大安经济开发区</w:t>
            </w:r>
          </w:p>
        </w:tc>
        <w:tc>
          <w:tcPr>
            <w:tcW w:w="356"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bCs/>
                <w:kern w:val="0"/>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2严禁新增高耗水（以水为主要原料的行业除外）、高污染的建设项目入区。</w:t>
            </w:r>
          </w:p>
        </w:tc>
        <w:tc>
          <w:tcPr>
            <w:tcW w:w="925"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大气环境高排放重点管控区、水环境工业污染重点管控区、建设用地污染风险重点管控区</w:t>
            </w:r>
          </w:p>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服装产业、农畜产品加工业、食品、新型建材产业、旅游产业（现代服务）、物流产业</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园区规划环评、《企业事业单位突发环境事件应急预案备案管理办法（试行）》《吉林省“十四五”节能减排综合实施方案》《中共吉林省委 吉林省人民政府关于深入打好污染防治攻坚战的实施意见》《吉林省减污降碳协同增效实施方案》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r>
              <w:rPr>
                <w:rFonts w:ascii="Times New Roman" w:hAnsi="Times New Roman" w:eastAsia="仿宋" w:cs="Times New Roman"/>
                <w:kern w:val="0"/>
                <w:sz w:val="20"/>
                <w:szCs w:val="20"/>
              </w:rPr>
              <w:tab/>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5"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rPr>
                <w:rFonts w:ascii="Times New Roman" w:hAnsi="Times New Roman" w:eastAsia="仿宋" w:cs="Times New Roman"/>
                <w:color w:val="FF0000"/>
                <w:sz w:val="20"/>
                <w:szCs w:val="21"/>
              </w:rPr>
            </w:pPr>
            <w:r>
              <w:rPr>
                <w:rFonts w:ascii="Times New Roman" w:hAnsi="Times New Roman" w:eastAsia="仿宋" w:cs="Times New Roman"/>
                <w:sz w:val="20"/>
                <w:szCs w:val="20"/>
              </w:rPr>
              <w:t>环境风险防控</w:t>
            </w:r>
          </w:p>
        </w:tc>
        <w:tc>
          <w:tcPr>
            <w:tcW w:w="227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2</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rPr>
                <w:rFonts w:ascii="Times New Roman" w:hAnsi="Times New Roman" w:eastAsia="仿宋" w:cs="Times New Roman"/>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widowControl/>
              <w:rPr>
                <w:rFonts w:ascii="Times New Roman" w:hAnsi="Times New Roman" w:eastAsia="仿宋" w:cs="Times New Roman"/>
                <w:color w:val="FF0000"/>
                <w:sz w:val="20"/>
                <w:szCs w:val="21"/>
              </w:rPr>
            </w:pPr>
            <w:r>
              <w:rPr>
                <w:rFonts w:ascii="Times New Roman" w:hAnsi="Times New Roman" w:eastAsia="仿宋" w:cs="Times New Roman"/>
                <w:sz w:val="20"/>
                <w:szCs w:val="20"/>
              </w:rPr>
              <w:t>4严格落实规划环评及其批复文件制定的环境风险防范措施。</w:t>
            </w:r>
          </w:p>
        </w:tc>
        <w:tc>
          <w:tcPr>
            <w:tcW w:w="925" w:type="pct"/>
            <w:vMerge w:val="continue"/>
            <w:shd w:val="clear" w:color="auto" w:fill="FFFFFF"/>
            <w:vAlign w:val="center"/>
          </w:tcPr>
          <w:p>
            <w:pPr>
              <w:jc w:val="left"/>
              <w:rPr>
                <w:rFonts w:ascii="Times New Roman" w:hAnsi="Times New Roman" w:eastAsia="仿宋" w:cs="Times New Roman"/>
                <w:b/>
                <w:bCs/>
                <w:color w:val="FF000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rPr>
                <w:rFonts w:ascii="Times New Roman" w:hAnsi="Times New Roman" w:eastAsia="仿宋" w:cs="Times New Roman"/>
                <w:color w:val="FF0000"/>
                <w:sz w:val="20"/>
                <w:szCs w:val="21"/>
              </w:rPr>
            </w:pPr>
            <w:r>
              <w:rPr>
                <w:rFonts w:ascii="Times New Roman" w:hAnsi="Times New Roman" w:eastAsia="仿宋" w:cs="Times New Roman"/>
                <w:sz w:val="20"/>
                <w:szCs w:val="21"/>
              </w:rPr>
              <w:t>资源开发效率</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1推广园区集中供热，园区新建供热设施须执行排放浓度限值。</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2完成吉林省下达的产能置换要求。各产业执行对应的清洁生产标准。</w:t>
            </w:r>
          </w:p>
          <w:p>
            <w:pPr>
              <w:widowControl/>
              <w:rPr>
                <w:rFonts w:ascii="Times New Roman" w:hAnsi="Times New Roman" w:eastAsia="仿宋" w:cs="Times New Roman"/>
                <w:color w:val="FF0000"/>
                <w:sz w:val="20"/>
                <w:szCs w:val="21"/>
              </w:rPr>
            </w:pPr>
            <w:r>
              <w:rPr>
                <w:rFonts w:ascii="Times New Roman" w:hAnsi="Times New Roman" w:eastAsia="仿宋" w:cs="Times New Roman"/>
                <w:sz w:val="20"/>
                <w:szCs w:val="21"/>
              </w:rPr>
              <w:t>3加强工业节水及再生水利用。</w:t>
            </w:r>
          </w:p>
        </w:tc>
        <w:tc>
          <w:tcPr>
            <w:tcW w:w="92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ZH22088220002</w:t>
            </w:r>
          </w:p>
        </w:tc>
        <w:tc>
          <w:tcPr>
            <w:tcW w:w="556" w:type="pct"/>
            <w:vMerge w:val="restar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大安市城镇开发边界</w:t>
            </w:r>
          </w:p>
        </w:tc>
        <w:tc>
          <w:tcPr>
            <w:tcW w:w="356" w:type="pct"/>
            <w:vMerge w:val="restar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2除在安全或者产业布局等方面有特殊要求的项目外，应避免大规模排放水污染物的项目布局建设。</w:t>
            </w:r>
          </w:p>
        </w:tc>
        <w:tc>
          <w:tcPr>
            <w:tcW w:w="925" w:type="pct"/>
            <w:vMerge w:val="restar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大气环境受体敏感重点管控区、水环境城镇生活污染重点管控区</w:t>
            </w:r>
          </w:p>
          <w:p>
            <w:pP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发展定位：</w:t>
            </w:r>
            <w:r>
              <w:rPr>
                <w:rFonts w:ascii="Times New Roman" w:hAnsi="Times New Roman" w:eastAsia="仿宋" w:cs="Times New Roman"/>
                <w:bCs/>
                <w:kern w:val="0"/>
                <w:sz w:val="20"/>
                <w:szCs w:val="21"/>
              </w:rPr>
              <w:t>吉林省重要内河港口，以装配设备制造业、农副产品加工业、商贸物流、生态旅游为主的交通型工业城市。</w:t>
            </w:r>
          </w:p>
          <w:p>
            <w:pPr>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271" w:type="pct"/>
            <w:shd w:val="clear" w:color="auto" w:fill="FFFFFF"/>
            <w:vAlign w:val="center"/>
          </w:tcPr>
          <w:p>
            <w:pPr>
              <w:widowControl/>
              <w:rPr>
                <w:rFonts w:ascii="Times New Roman" w:hAnsi="Times New Roman" w:eastAsia="仿宋" w:cs="Times New Roman"/>
                <w:color w:val="FF0000"/>
                <w:sz w:val="20"/>
                <w:szCs w:val="21"/>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2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71" w:type="pct"/>
            <w:shd w:val="clear" w:color="auto" w:fill="FFFFFF"/>
            <w:vAlign w:val="center"/>
          </w:tcPr>
          <w:p>
            <w:pPr>
              <w:widowControl/>
              <w:rPr>
                <w:rFonts w:ascii="Times New Roman" w:hAnsi="Times New Roman" w:eastAsia="仿宋" w:cs="Times New Roman"/>
                <w:sz w:val="20"/>
                <w:szCs w:val="21"/>
              </w:rPr>
            </w:pP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tc>
        <w:tc>
          <w:tcPr>
            <w:tcW w:w="92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除在安全或者产业布局等方面有特殊要求的项目外，应严格控制新建、扩建采用高污染燃料的项目和设施。</w:t>
            </w:r>
          </w:p>
        </w:tc>
        <w:tc>
          <w:tcPr>
            <w:tcW w:w="92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8"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ZH22088220003</w:t>
            </w:r>
          </w:p>
        </w:tc>
        <w:tc>
          <w:tcPr>
            <w:tcW w:w="556"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大安市大气环境高排放重点管控区</w:t>
            </w:r>
          </w:p>
        </w:tc>
        <w:tc>
          <w:tcPr>
            <w:tcW w:w="356"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szCs w:val="20"/>
              </w:rPr>
              <w:t>2-重点管控</w:t>
            </w:r>
          </w:p>
        </w:tc>
        <w:tc>
          <w:tcPr>
            <w:tcW w:w="42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25" w:type="pct"/>
            <w:vMerge w:val="restar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大气环境高排放重点管控区、水环境农业污染重点管控区</w:t>
            </w:r>
          </w:p>
          <w:p>
            <w:pPr>
              <w:widowControl/>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szCs w:val="21"/>
              </w:rPr>
            </w:pPr>
          </w:p>
        </w:tc>
        <w:tc>
          <w:tcPr>
            <w:tcW w:w="556" w:type="pct"/>
            <w:vMerge w:val="continue"/>
            <w:shd w:val="clear" w:color="auto" w:fill="FFFFFF"/>
            <w:vAlign w:val="center"/>
          </w:tcPr>
          <w:p>
            <w:pPr>
              <w:rPr>
                <w:rFonts w:ascii="Times New Roman" w:hAnsi="Times New Roman" w:eastAsia="仿宋" w:cs="Times New Roman"/>
                <w:color w:val="FF0000"/>
                <w:sz w:val="20"/>
                <w:szCs w:val="21"/>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szCs w:val="21"/>
              </w:rPr>
            </w:pPr>
          </w:p>
        </w:tc>
        <w:tc>
          <w:tcPr>
            <w:tcW w:w="42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3规模化畜禽养殖场（小区）应当保证畜禽粪污无害化处理和资源化利用设施的正常运转。散养密集区要实行畜禽粪便污水分户收集、集中处理利用。</w:t>
            </w:r>
          </w:p>
        </w:tc>
        <w:tc>
          <w:tcPr>
            <w:tcW w:w="925" w:type="pct"/>
            <w:vMerge w:val="continue"/>
            <w:shd w:val="clear" w:color="auto" w:fill="FFFFFF"/>
            <w:vAlign w:val="center"/>
          </w:tcPr>
          <w:p>
            <w:pPr>
              <w:jc w:val="left"/>
              <w:rPr>
                <w:rFonts w:ascii="Times New Roman" w:hAnsi="Times New Roman" w:eastAsia="仿宋" w:cs="Times New Roman"/>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kern w:val="0"/>
                <w:sz w:val="20"/>
                <w:szCs w:val="20"/>
              </w:rPr>
              <w:t>环境风险防控</w:t>
            </w:r>
          </w:p>
        </w:tc>
        <w:tc>
          <w:tcPr>
            <w:tcW w:w="2271" w:type="pct"/>
            <w:shd w:val="clear" w:color="auto" w:fill="FFFFFF"/>
            <w:vAlign w:val="center"/>
          </w:tcPr>
          <w:p>
            <w:pPr>
              <w:widowControl/>
              <w:rPr>
                <w:rFonts w:ascii="Times New Roman" w:hAnsi="Times New Roman" w:eastAsia="仿宋" w:cs="Times New Roman"/>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5" w:type="pct"/>
            <w:vMerge w:val="continue"/>
            <w:shd w:val="clear" w:color="auto" w:fill="FFFFFF"/>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color w:val="FF0000"/>
                <w:sz w:val="20"/>
              </w:rPr>
            </w:pPr>
          </w:p>
        </w:tc>
        <w:tc>
          <w:tcPr>
            <w:tcW w:w="556" w:type="pct"/>
            <w:vMerge w:val="continue"/>
            <w:shd w:val="clear" w:color="auto" w:fill="FFFFFF"/>
            <w:vAlign w:val="center"/>
          </w:tcPr>
          <w:p>
            <w:pPr>
              <w:rPr>
                <w:rFonts w:ascii="Times New Roman" w:hAnsi="Times New Roman" w:eastAsia="仿宋" w:cs="Times New Roman"/>
                <w:color w:val="FF0000"/>
                <w:sz w:val="20"/>
              </w:rPr>
            </w:pPr>
          </w:p>
        </w:tc>
        <w:tc>
          <w:tcPr>
            <w:tcW w:w="356" w:type="pct"/>
            <w:vMerge w:val="continue"/>
            <w:shd w:val="clear" w:color="auto" w:fill="FFFFFF"/>
            <w:vAlign w:val="center"/>
          </w:tcPr>
          <w:p>
            <w:pPr>
              <w:widowControl/>
              <w:jc w:val="left"/>
              <w:rPr>
                <w:rFonts w:ascii="Times New Roman" w:hAnsi="Times New Roman" w:eastAsia="仿宋" w:cs="Times New Roman"/>
                <w:color w:val="FF0000"/>
                <w:sz w:val="20"/>
              </w:rPr>
            </w:pPr>
          </w:p>
        </w:tc>
        <w:tc>
          <w:tcPr>
            <w:tcW w:w="42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资源开发效率</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完成吉林省下达的产能置换要求。</w:t>
            </w:r>
          </w:p>
        </w:tc>
        <w:tc>
          <w:tcPr>
            <w:tcW w:w="925" w:type="pct"/>
            <w:vMerge w:val="continue"/>
            <w:shd w:val="clear" w:color="auto" w:fill="FFFFFF"/>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ZH22088220004</w:t>
            </w:r>
          </w:p>
        </w:tc>
        <w:tc>
          <w:tcPr>
            <w:tcW w:w="556" w:type="pc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大安市水环境农业污染重点管控区</w:t>
            </w:r>
          </w:p>
        </w:tc>
        <w:tc>
          <w:tcPr>
            <w:tcW w:w="3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2-重点管控</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7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规模化畜禽养殖场（小区）应当保证畜禽粪污无害化处理和资源化利用设施的正常运转。散养密集区要实行畜禽粪便污水分户收集、集中处理利用。</w:t>
            </w:r>
          </w:p>
        </w:tc>
        <w:tc>
          <w:tcPr>
            <w:tcW w:w="925" w:type="pct"/>
            <w:shd w:val="clear" w:color="auto" w:fill="FFFFFF"/>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水环境农业污染重点管控区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ZH22088220005</w:t>
            </w:r>
          </w:p>
        </w:tc>
        <w:tc>
          <w:tcPr>
            <w:tcW w:w="556" w:type="pct"/>
            <w:vMerge w:val="restart"/>
            <w:shd w:val="clear" w:color="auto" w:fill="FFFFFF"/>
            <w:vAlign w:val="center"/>
          </w:tcPr>
          <w:p>
            <w:pPr>
              <w:rPr>
                <w:rFonts w:ascii="Times New Roman" w:hAnsi="Times New Roman" w:eastAsia="仿宋" w:cs="Times New Roman"/>
                <w:sz w:val="20"/>
              </w:rPr>
            </w:pPr>
            <w:r>
              <w:rPr>
                <w:rFonts w:ascii="Times New Roman" w:hAnsi="Times New Roman" w:eastAsia="仿宋" w:cs="Times New Roman"/>
                <w:sz w:val="20"/>
              </w:rPr>
              <w:t>大安市建设用地污染风险重点管控区</w:t>
            </w:r>
          </w:p>
        </w:tc>
        <w:tc>
          <w:tcPr>
            <w:tcW w:w="356" w:type="pct"/>
            <w:vMerge w:val="restart"/>
            <w:shd w:val="clear" w:color="auto" w:fill="FFFFFF"/>
            <w:vAlign w:val="center"/>
          </w:tcPr>
          <w:p>
            <w:pPr>
              <w:widowControl/>
              <w:jc w:val="left"/>
              <w:rPr>
                <w:rFonts w:ascii="Times New Roman" w:hAnsi="Times New Roman" w:eastAsia="仿宋" w:cs="Times New Roman"/>
                <w:sz w:val="20"/>
              </w:rPr>
            </w:pPr>
            <w:r>
              <w:rPr>
                <w:rFonts w:ascii="Times New Roman" w:hAnsi="Times New Roman" w:eastAsia="仿宋" w:cs="Times New Roman"/>
                <w:sz w:val="20"/>
              </w:rPr>
              <w:t>2-重点管控</w:t>
            </w:r>
          </w:p>
        </w:tc>
        <w:tc>
          <w:tcPr>
            <w:tcW w:w="42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25" w:type="pct"/>
            <w:vMerge w:val="restart"/>
            <w:shd w:val="clear" w:color="auto" w:fill="FFFFFF"/>
            <w:vAlign w:val="center"/>
          </w:tcPr>
          <w:p>
            <w:pPr>
              <w:widowControl/>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建设用地污染风险重点管控区</w:t>
            </w:r>
          </w:p>
          <w:p>
            <w:pPr>
              <w:jc w:val="left"/>
              <w:rPr>
                <w:rFonts w:ascii="Times New Roman" w:hAnsi="Times New Roman" w:eastAsia="仿宋" w:cs="Times New Roman"/>
                <w:b/>
                <w:bCs/>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《污染地块土壤环境管理办法（试行）》《工矿用地土壤环境管理办法（试行）》《中共吉林省委 吉林省人民政府关于深入打好污染防治攻坚战的实施意见》《吉林省土壤环境质量巩固提升行动方案》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sz w:val="20"/>
              </w:rPr>
            </w:pPr>
          </w:p>
        </w:tc>
        <w:tc>
          <w:tcPr>
            <w:tcW w:w="556" w:type="pct"/>
            <w:vMerge w:val="continue"/>
            <w:shd w:val="clear" w:color="auto" w:fill="FFFFFF"/>
            <w:vAlign w:val="center"/>
          </w:tcPr>
          <w:p>
            <w:pPr>
              <w:rPr>
                <w:rFonts w:ascii="Times New Roman" w:hAnsi="Times New Roman" w:eastAsia="仿宋" w:cs="Times New Roman"/>
                <w:sz w:val="20"/>
              </w:rPr>
            </w:pPr>
          </w:p>
        </w:tc>
        <w:tc>
          <w:tcPr>
            <w:tcW w:w="356" w:type="pct"/>
            <w:vMerge w:val="continue"/>
            <w:shd w:val="clear" w:color="auto" w:fill="FFFFFF"/>
            <w:vAlign w:val="center"/>
          </w:tcPr>
          <w:p>
            <w:pPr>
              <w:widowControl/>
              <w:jc w:val="left"/>
              <w:rPr>
                <w:rFonts w:ascii="Times New Roman" w:hAnsi="Times New Roman" w:eastAsia="仿宋" w:cs="Times New Roman"/>
                <w:sz w:val="20"/>
              </w:rPr>
            </w:pPr>
          </w:p>
        </w:tc>
        <w:tc>
          <w:tcPr>
            <w:tcW w:w="421" w:type="pct"/>
            <w:shd w:val="clear" w:color="auto" w:fill="FFFFFF"/>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5"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shd w:val="clear" w:color="auto" w:fill="FFFFFF"/>
            <w:vAlign w:val="center"/>
          </w:tcPr>
          <w:p>
            <w:pPr>
              <w:rPr>
                <w:rFonts w:ascii="Times New Roman" w:hAnsi="Times New Roman" w:eastAsia="仿宋" w:cs="Times New Roman"/>
                <w:sz w:val="20"/>
              </w:rPr>
            </w:pPr>
          </w:p>
        </w:tc>
        <w:tc>
          <w:tcPr>
            <w:tcW w:w="556" w:type="pct"/>
            <w:vMerge w:val="continue"/>
            <w:shd w:val="clear" w:color="auto" w:fill="FFFFFF"/>
            <w:vAlign w:val="center"/>
          </w:tcPr>
          <w:p>
            <w:pPr>
              <w:rPr>
                <w:rFonts w:ascii="Times New Roman" w:hAnsi="Times New Roman" w:eastAsia="仿宋" w:cs="Times New Roman"/>
                <w:sz w:val="20"/>
              </w:rPr>
            </w:pPr>
          </w:p>
        </w:tc>
        <w:tc>
          <w:tcPr>
            <w:tcW w:w="356" w:type="pct"/>
            <w:vMerge w:val="continue"/>
            <w:shd w:val="clear" w:color="auto" w:fill="FFFFFF"/>
            <w:vAlign w:val="center"/>
          </w:tcPr>
          <w:p>
            <w:pPr>
              <w:widowControl/>
              <w:jc w:val="left"/>
              <w:rPr>
                <w:rFonts w:ascii="Times New Roman" w:hAnsi="Times New Roman" w:eastAsia="仿宋" w:cs="Times New Roman"/>
                <w:sz w:val="20"/>
              </w:rPr>
            </w:pPr>
          </w:p>
        </w:tc>
        <w:tc>
          <w:tcPr>
            <w:tcW w:w="42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71" w:type="pct"/>
            <w:shd w:val="clear" w:color="auto" w:fill="FFFFFF"/>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5" w:type="pct"/>
            <w:vMerge w:val="continue"/>
            <w:shd w:val="clear" w:color="auto" w:fill="FFFFFF"/>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ZH22088230001</w:t>
            </w:r>
          </w:p>
        </w:tc>
        <w:tc>
          <w:tcPr>
            <w:tcW w:w="556"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rPr>
              <w:t>大安市一般管控区</w:t>
            </w:r>
          </w:p>
        </w:tc>
        <w:tc>
          <w:tcPr>
            <w:tcW w:w="356" w:type="pct"/>
            <w:shd w:val="clear" w:color="auto" w:fill="FFFFFF"/>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rPr>
              <w:t>3-一般管控</w:t>
            </w:r>
          </w:p>
        </w:tc>
        <w:tc>
          <w:tcPr>
            <w:tcW w:w="421" w:type="pct"/>
            <w:shd w:val="clear" w:color="auto" w:fill="FFFFFF"/>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71" w:type="pct"/>
            <w:shd w:val="clear" w:color="auto" w:fill="FFFFFF"/>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25" w:type="pct"/>
            <w:shd w:val="clear" w:color="auto" w:fill="FFFFFF"/>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142" w:name="_Toc26474"/>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十二） 延边朝鲜族自治州延吉市生态环境准入清单</w:t>
      </w:r>
      <w:bookmarkEnd w:id="142"/>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表4-42-1 延边朝鲜族自治州延吉市区域特征研判</w:t>
      </w:r>
    </w:p>
    <w:tbl>
      <w:tblPr>
        <w:tblStyle w:val="19"/>
        <w:tblW w:w="5000" w:type="pct"/>
        <w:tblInd w:w="0" w:type="dxa"/>
        <w:tblLayout w:type="autofit"/>
        <w:tblCellMar>
          <w:top w:w="0" w:type="dxa"/>
          <w:left w:w="108" w:type="dxa"/>
          <w:bottom w:w="0" w:type="dxa"/>
          <w:right w:w="108" w:type="dxa"/>
        </w:tblCellMar>
      </w:tblPr>
      <w:tblGrid>
        <w:gridCol w:w="4755"/>
        <w:gridCol w:w="6842"/>
        <w:gridCol w:w="4942"/>
        <w:gridCol w:w="4608"/>
      </w:tblGrid>
      <w:tr>
        <w:tblPrEx>
          <w:tblCellMar>
            <w:top w:w="0" w:type="dxa"/>
            <w:left w:w="108" w:type="dxa"/>
            <w:bottom w:w="0" w:type="dxa"/>
            <w:right w:w="108" w:type="dxa"/>
          </w:tblCellMar>
        </w:tblPrEx>
        <w:trPr>
          <w:trHeight w:val="222"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00"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1.《吉林省主体功能区规划》中的国家级重点开发区域。</w:t>
            </w:r>
          </w:p>
          <w:p>
            <w:pPr>
              <w:rPr>
                <w:rFonts w:ascii="Times New Roman" w:hAnsi="Times New Roman" w:eastAsia="仿宋" w:cs="Times New Roman"/>
                <w:bCs/>
                <w:szCs w:val="21"/>
              </w:rPr>
            </w:pPr>
            <w:r>
              <w:rPr>
                <w:rFonts w:ascii="Times New Roman" w:hAnsi="Times New Roman" w:eastAsia="仿宋" w:cs="Times New Roman"/>
                <w:bCs/>
                <w:szCs w:val="21"/>
              </w:rPr>
              <w:t>2.属于国家层面重点开发区域——长吉图经济区。</w:t>
            </w:r>
          </w:p>
          <w:p>
            <w:pPr>
              <w:rPr>
                <w:rFonts w:ascii="Times New Roman" w:hAnsi="Times New Roman" w:eastAsia="仿宋" w:cs="Times New Roman"/>
                <w:szCs w:val="21"/>
              </w:rPr>
            </w:pPr>
            <w:r>
              <w:rPr>
                <w:rFonts w:ascii="Times New Roman" w:hAnsi="Times New Roman" w:eastAsia="仿宋" w:cs="Times New Roman"/>
                <w:bCs/>
                <w:szCs w:val="21"/>
              </w:rPr>
              <w:t>3.位于吉林省东部、延边州中部、长白山脉北麓，是吉林省延边朝鲜族自治州的首府，是全州政治、经济、文化与对外交往的中心。总面积1748.3平方公里，下辖6个街道、4个镇。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1.落实国家、吉林省和延边州重大战略安排，确定延吉市城市性质为:延边朝鲜族自治州首府、东北东部中心城市长吉图开发开放先导区前沿城市、具有朝鲜族特色的东北亚旅游城市；</w:t>
            </w:r>
          </w:p>
          <w:p>
            <w:pPr>
              <w:rPr>
                <w:rFonts w:ascii="Times New Roman" w:hAnsi="Times New Roman" w:eastAsia="仿宋" w:cs="Times New Roman"/>
                <w:bCs/>
                <w:szCs w:val="21"/>
              </w:rPr>
            </w:pPr>
            <w:r>
              <w:rPr>
                <w:rFonts w:ascii="Times New Roman" w:hAnsi="Times New Roman" w:eastAsia="仿宋" w:cs="Times New Roman"/>
                <w:bCs/>
                <w:szCs w:val="21"/>
              </w:rPr>
              <w:t>2.以生态安全粮食安全、国防安全的背景，以全域全要素为基础，以高质量发展为目标确定城市功能定位为: 国家沿边地区双循环融合示范区、面向东北亚的门户物流集散地吉林东部先进制造和国际产业合作服务基地、具有朝鲜族特色的旅游目的地。</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hint="eastAsia" w:ascii="Times New Roman" w:hAnsi="Times New Roman" w:eastAsia="仿宋" w:cs="Times New Roman"/>
                <w:szCs w:val="24"/>
                <w:shd w:val="clear" w:color="auto" w:fill="FFFFFF"/>
              </w:rPr>
              <w:t>/</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吉林帽儿山国家森林公园、延吉市延河水库生活饮用水水源保护区、五道水库生活饮用水水源保护区。</w:t>
            </w:r>
          </w:p>
        </w:tc>
      </w:tr>
    </w:tbl>
    <w:p>
      <w:pPr>
        <w:jc w:val="center"/>
        <w:rPr>
          <w:rFonts w:ascii="Times New Roman" w:hAnsi="Times New Roman" w:eastAsia="仿宋" w:cs="Times New Roman"/>
          <w:b/>
          <w:color w:val="FF0000"/>
          <w:szCs w:val="21"/>
        </w:rPr>
      </w:pPr>
      <w:r>
        <w:rPr>
          <w:rFonts w:ascii="Times New Roman" w:hAnsi="Times New Roman" w:eastAsia="仿宋" w:cs="Times New Roman"/>
          <w:b/>
          <w:color w:val="FF0000"/>
          <w:szCs w:val="21"/>
        </w:rPr>
        <w:t xml:space="preserve">  </w:t>
      </w: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表4-42-2 延边朝鲜族自治州延吉市生态环境准入清单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00"/>
        <w:gridCol w:w="1633"/>
        <w:gridCol w:w="1917"/>
        <w:gridCol w:w="9286"/>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bookmarkStart w:id="143" w:name="_Hlk38963878"/>
            <w:r>
              <w:rPr>
                <w:rFonts w:ascii="Times New Roman" w:hAnsi="Times New Roman" w:eastAsia="仿宋" w:cs="Times New Roman"/>
                <w:b/>
                <w:kern w:val="0"/>
                <w:sz w:val="20"/>
                <w:szCs w:val="20"/>
              </w:rPr>
              <w:t>环境管控单元编码</w:t>
            </w:r>
          </w:p>
        </w:tc>
        <w:tc>
          <w:tcPr>
            <w:tcW w:w="59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6"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53"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195"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42"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bookmarkEnd w:id="1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ZH22240110001</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吉林帽儿山国家森林公园</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ZH22240110002</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延吉市延河水库生活饮用水水源保护区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ZH22240110003</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延吉市延河水库生活饮用水水源保护区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ZH22240110004</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延吉市五道水库饮用水水源保护区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ZH22240110005</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延吉市五道水库饮用水水源保护区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ZH22240110006</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延吉市水源涵养功能重要区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ZH22240110007</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延吉市生物多样性重要区</w:t>
            </w:r>
          </w:p>
        </w:tc>
        <w:tc>
          <w:tcPr>
            <w:tcW w:w="386" w:type="pct"/>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5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95"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ZH22240110008</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延吉市防风固沙重要区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ZH22240110009</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延吉市水土保持功能重要区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ZH22240110010</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延吉市水土流失敏感区</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w:t>
            </w:r>
          </w:p>
          <w:p>
            <w:pPr>
              <w:widowControl/>
              <w:jc w:val="left"/>
              <w:rPr>
                <w:rFonts w:ascii="Times New Roman" w:hAnsi="Times New Roman" w:eastAsia="仿宋" w:cs="Times New Roman"/>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ZH22240110011</w:t>
            </w:r>
          </w:p>
        </w:tc>
        <w:tc>
          <w:tcPr>
            <w:tcW w:w="59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延吉市其他生态功能生态保护红线</w:t>
            </w:r>
          </w:p>
        </w:tc>
        <w:tc>
          <w:tcPr>
            <w:tcW w:w="38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42"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tabs>
                <w:tab w:val="left" w:pos="516"/>
              </w:tabs>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ZH22240120001</w:t>
            </w:r>
          </w:p>
        </w:tc>
        <w:tc>
          <w:tcPr>
            <w:tcW w:w="59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吉林延吉国际空港经济开发区</w:t>
            </w:r>
          </w:p>
        </w:tc>
        <w:tc>
          <w:tcPr>
            <w:tcW w:w="38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w:t>
            </w: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2严格控制高耗水、高污染行业发展。</w:t>
            </w:r>
          </w:p>
        </w:tc>
        <w:tc>
          <w:tcPr>
            <w:tcW w:w="942"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长吉图开发开放先导区战略的重要前沿，构建东北亚地区的陆上丝绸之路</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智能制造业、大健康产业、现代服务业三大产业集群，并适时发展国际物流与国际金融</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516"/>
              </w:tabs>
              <w:jc w:val="left"/>
              <w:rPr>
                <w:rFonts w:ascii="Times New Roman" w:hAnsi="Times New Roman" w:eastAsia="仿宋" w:cs="Times New Roman"/>
                <w:bCs/>
                <w:kern w:val="0"/>
                <w:sz w:val="20"/>
                <w:szCs w:val="20"/>
              </w:rPr>
            </w:pPr>
          </w:p>
        </w:tc>
        <w:tc>
          <w:tcPr>
            <w:tcW w:w="591" w:type="pct"/>
            <w:vMerge w:val="continue"/>
            <w:noWrap/>
            <w:vAlign w:val="center"/>
          </w:tcPr>
          <w:p>
            <w:pPr>
              <w:widowControl/>
              <w:jc w:val="left"/>
              <w:rPr>
                <w:rFonts w:ascii="Times New Roman" w:hAnsi="Times New Roman" w:eastAsia="仿宋" w:cs="Times New Roman"/>
                <w:bCs/>
                <w:kern w:val="0"/>
                <w:sz w:val="20"/>
                <w:szCs w:val="20"/>
              </w:rPr>
            </w:pPr>
          </w:p>
        </w:tc>
        <w:tc>
          <w:tcPr>
            <w:tcW w:w="386" w:type="pct"/>
            <w:vMerge w:val="continue"/>
            <w:noWrap/>
            <w:vAlign w:val="center"/>
          </w:tcPr>
          <w:p>
            <w:pPr>
              <w:widowControl/>
              <w:jc w:val="left"/>
              <w:rPr>
                <w:rFonts w:ascii="Times New Roman" w:hAnsi="Times New Roman" w:eastAsia="仿宋" w:cs="Times New Roman"/>
                <w:bCs/>
                <w:kern w:val="0"/>
                <w:sz w:val="20"/>
                <w:szCs w:val="20"/>
              </w:rPr>
            </w:pPr>
          </w:p>
        </w:tc>
        <w:tc>
          <w:tcPr>
            <w:tcW w:w="453"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95"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42"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91" w:type="pct"/>
            <w:vMerge w:val="continue"/>
            <w:noWrap/>
            <w:vAlign w:val="center"/>
          </w:tcPr>
          <w:p>
            <w:pPr>
              <w:widowControl/>
              <w:jc w:val="left"/>
              <w:rPr>
                <w:rFonts w:ascii="Times New Roman" w:hAnsi="Times New Roman" w:eastAsia="仿宋" w:cs="Times New Roman"/>
                <w:bCs/>
                <w:kern w:val="0"/>
                <w:sz w:val="20"/>
                <w:szCs w:val="20"/>
              </w:rPr>
            </w:pPr>
          </w:p>
        </w:tc>
        <w:tc>
          <w:tcPr>
            <w:tcW w:w="386" w:type="pct"/>
            <w:vMerge w:val="continue"/>
            <w:noWrap/>
            <w:vAlign w:val="center"/>
          </w:tcPr>
          <w:p>
            <w:pPr>
              <w:widowControl/>
              <w:jc w:val="left"/>
              <w:rPr>
                <w:rFonts w:ascii="Times New Roman" w:hAnsi="Times New Roman" w:eastAsia="仿宋" w:cs="Times New Roman"/>
                <w:bCs/>
                <w:kern w:val="0"/>
                <w:sz w:val="20"/>
                <w:szCs w:val="20"/>
              </w:rPr>
            </w:pP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开发区应制定环境风险应急预案，成立应急组织机构，定期开展应急演练，提高区域环境风险防范能力。</w:t>
            </w:r>
          </w:p>
        </w:tc>
        <w:tc>
          <w:tcPr>
            <w:tcW w:w="942" w:type="pct"/>
            <w:vMerge w:val="continue"/>
            <w:vAlign w:val="center"/>
          </w:tcPr>
          <w:p>
            <w:pPr>
              <w:widowControl/>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91" w:type="pct"/>
            <w:vMerge w:val="continue"/>
            <w:noWrap/>
            <w:vAlign w:val="center"/>
          </w:tcPr>
          <w:p>
            <w:pPr>
              <w:widowControl/>
              <w:jc w:val="left"/>
              <w:rPr>
                <w:rFonts w:ascii="Times New Roman" w:hAnsi="Times New Roman" w:eastAsia="仿宋" w:cs="Times New Roman"/>
                <w:bCs/>
                <w:kern w:val="0"/>
                <w:sz w:val="20"/>
                <w:szCs w:val="20"/>
              </w:rPr>
            </w:pPr>
          </w:p>
        </w:tc>
        <w:tc>
          <w:tcPr>
            <w:tcW w:w="386" w:type="pct"/>
            <w:vMerge w:val="continue"/>
            <w:noWrap/>
            <w:vAlign w:val="center"/>
          </w:tcPr>
          <w:p>
            <w:pPr>
              <w:widowControl/>
              <w:jc w:val="left"/>
              <w:rPr>
                <w:rFonts w:ascii="Times New Roman" w:hAnsi="Times New Roman" w:eastAsia="仿宋" w:cs="Times New Roman"/>
                <w:bCs/>
                <w:kern w:val="0"/>
                <w:sz w:val="20"/>
                <w:szCs w:val="20"/>
              </w:rPr>
            </w:pP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 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42" w:type="pct"/>
            <w:vMerge w:val="continue"/>
            <w:vAlign w:val="center"/>
          </w:tcPr>
          <w:p>
            <w:pPr>
              <w:widowControl/>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tabs>
                <w:tab w:val="left" w:pos="516"/>
              </w:tabs>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ZH22240120002</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延吉高新技术产业开发区</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w:t>
            </w: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2严格控制高耗水、高污染行业发展。</w:t>
            </w:r>
          </w:p>
        </w:tc>
        <w:tc>
          <w:tcPr>
            <w:tcW w:w="942"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大气环境高排放重点管控区、水环境工业污染重点管控区、高污染燃料禁燃区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东北亚区域合作中心，国家低碳示范园区，长吉图区域高新技术产业基地，以生物科技、信息技术为引领的产城融合创新区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以现代服务业为支点，全力发展生物科技、绿色生态食品、医疗器械产业，兼顾发展战略性植入的大健康、新材料、新能源、节能环保等新兴产业，加大力度培育国内领先的产业集群</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tabs>
                <w:tab w:val="left" w:pos="516"/>
              </w:tabs>
              <w:jc w:val="left"/>
              <w:rPr>
                <w:rFonts w:ascii="Times New Roman" w:hAnsi="Times New Roman" w:eastAsia="仿宋" w:cs="Times New Roman"/>
                <w:bCs/>
                <w:color w:val="FF0000"/>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95"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42"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tabs>
                <w:tab w:val="left" w:pos="516"/>
              </w:tabs>
              <w:jc w:val="left"/>
              <w:rPr>
                <w:rFonts w:ascii="Times New Roman" w:hAnsi="Times New Roman" w:eastAsia="仿宋" w:cs="Times New Roman"/>
                <w:bCs/>
                <w:color w:val="FF0000"/>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1开发区应制定环境风险应急预案，成立应急组织机构，定期开展应急演练，提高区域环境风险防范能力。</w:t>
            </w:r>
          </w:p>
          <w:p>
            <w:pPr>
              <w:widowControl/>
              <w:jc w:val="left"/>
              <w:rPr>
                <w:rFonts w:ascii="Times New Roman" w:hAnsi="Times New Roman" w:eastAsia="仿宋" w:cs="Times New Roman"/>
                <w:kern w:val="0"/>
                <w:sz w:val="20"/>
                <w:szCs w:val="20"/>
              </w:rPr>
            </w:pPr>
            <w:r>
              <w:rPr>
                <w:rFonts w:ascii="Times New Roman" w:hAnsi="Times New Roman" w:eastAsia="仿宋" w:cs="Times New Roman"/>
                <w:bCs/>
                <w:kern w:val="0"/>
                <w:sz w:val="20"/>
                <w:szCs w:val="20"/>
              </w:rPr>
              <w:t>2严格落实规划环评及其批复文件制定的环境风险防范措施。</w:t>
            </w:r>
          </w:p>
        </w:tc>
        <w:tc>
          <w:tcPr>
            <w:tcW w:w="942"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tabs>
                <w:tab w:val="left" w:pos="516"/>
              </w:tabs>
              <w:jc w:val="left"/>
              <w:rPr>
                <w:rFonts w:ascii="Times New Roman" w:hAnsi="Times New Roman" w:eastAsia="仿宋" w:cs="Times New Roman"/>
                <w:bCs/>
                <w:color w:val="FF0000"/>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 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禁燃区内禁止燃用的高污染燃料按照《延吉市人民政府关于划定高污染燃料禁燃区的通告》执行；禁燃区内严禁新建、改建、扩建项目使用高污染燃料（集中供热锅炉、电厂锅炉除外）；禁燃区内的机关、企事业单位及其他生产经营者已建的使用高污染燃料的设施（集中供热锅炉、电厂锅炉除外），在规定期限内完成并网、拆除或改用电、天然气、液化石油气等清洁能源。</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4推行开发区集中供热，园区新建供热设施须执行排放浓度限值。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4完成吉林省下达的产能置换要求。各产业执行对应的清洁生产标准。</w:t>
            </w:r>
          </w:p>
        </w:tc>
        <w:tc>
          <w:tcPr>
            <w:tcW w:w="942"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ZH22240120003</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延龙图新区（吉林延龙图文化旅游园）</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3除在全或者产业布局等方面有特殊要求的项目外，应避免大规模排放水污染物的项目布局建设。</w:t>
            </w:r>
          </w:p>
        </w:tc>
        <w:tc>
          <w:tcPr>
            <w:tcW w:w="942"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把延龙图新区打造成延边绿色转型发展引领区、创新发展示范区、高端服务集聚区、国际休闲度假旅游区、面向东北亚国际合作的新高地、东北沿边经济发展的增长极、我国东北地区实施“一带一路”战略的重要支点。</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文化旅游、现代服务、特色种植</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关于开展畜禽养殖禁养区划定工作的通知》《污染地块土壤环境管理办法（试行）》《工矿用地土壤环境管理办法（试行）》《吉林省生态环境保护“十四五”规划》《企业事业单位突发环境事件应急预案备案管理办法（试行）》《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195" w:type="pct"/>
            <w:shd w:val="clear" w:color="auto" w:fill="auto"/>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942"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1除在安全或者产业布局等方面有特殊要求的项目外，应严格控制新建、扩建采用高污染燃料的项目和设施。</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3完成吉林省下达的产能置换要求。各产业执行对应的清洁生产标准。</w:t>
            </w:r>
          </w:p>
        </w:tc>
        <w:tc>
          <w:tcPr>
            <w:tcW w:w="942"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ZH22240120004</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延吉市城镇开发边界</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942"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大气环境受体敏感重点管控区、水环境城镇生活污染重点管控区、建设用地污染风险重点管控区、高污染燃料禁燃区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《关于开展畜禽养殖禁养区划定工作的通知》</w:t>
            </w:r>
            <w:r>
              <w:rPr>
                <w:rFonts w:ascii="Times New Roman" w:hAnsi="Times New Roman" w:eastAsia="仿宋" w:cs="Times New Roman"/>
                <w:sz w:val="20"/>
                <w:szCs w:val="20"/>
              </w:rPr>
              <w:t>《污染地块土壤环境管理办法（试行）》《工矿用地土壤环境管理办法（试行）》《吉林省减污降碳协同增效实施方案》《中共吉林省委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42"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延吉市人民政府关于划定高污染燃料禁燃区的通告》执行；禁燃区内严禁新建、改建、扩建项目使用高污染燃料（集中供热锅炉、电厂锅炉除外）；禁燃区内的机关、企事业单位及其他生产经营者已建的使用高污染燃料的设施（集中供热锅炉、电厂锅炉除外），在规定期限内完成并网、拆除或改用电、天然气、液化石油气等清洁能源。</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ZH22240120005</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延吉市大气环境高排放重点管控区</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42"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大气环境高排放重点管控区、高污染燃料禁燃区</w:t>
            </w:r>
          </w:p>
          <w:p>
            <w:pPr>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19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42" w:type="pct"/>
            <w:vMerge w:val="continue"/>
            <w:vAlign w:val="center"/>
          </w:tcPr>
          <w:p>
            <w:pPr>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195" w:type="pct"/>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延吉市人民政府关于划定高污染燃料禁燃区的通告》执行；禁燃区内严禁新建、改建、扩建项目使用高污染燃料（集中供热锅炉、电厂锅炉除外）；禁燃区内的机关、企事业单位及其他生产经营者已建的使用高污染燃料的设施（集中供热锅炉、电厂锅炉除外），在规定期限内完成并网、拆除或改用电、天然气、液化石油气等清洁能源。</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ZH22240120006</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延吉市大气环境布局敏感重点管控区</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95"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除在安全或者产业布局等方面有特殊要求的项目外，宜避免大规模排放大气污染物的项目布局建设。</w:t>
            </w:r>
          </w:p>
        </w:tc>
        <w:tc>
          <w:tcPr>
            <w:tcW w:w="942"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大气环境布局敏感重点管控区、建设用地污染风险重点管控区</w:t>
            </w:r>
          </w:p>
          <w:p>
            <w:pPr>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195"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1深入推进秸秆禁烧管控，实行秸秆全域禁烧。加快淘汰老旧车辆；强化道路扬尘控制。</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2实施化肥农药减量增效行动和农膜回收行动；采取积极措施，推进养殖业大气氨减排。</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942"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ZH22240120007</w:t>
            </w:r>
          </w:p>
        </w:tc>
        <w:tc>
          <w:tcPr>
            <w:tcW w:w="591"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延吉市大气环境弱扩散重点管控区</w:t>
            </w:r>
          </w:p>
        </w:tc>
        <w:tc>
          <w:tcPr>
            <w:tcW w:w="386"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19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除在安全或者产业布局等方面有特殊要求的项目外，宜避免大规模排放大气污染物的项目布局建设。</w:t>
            </w:r>
          </w:p>
        </w:tc>
        <w:tc>
          <w:tcPr>
            <w:tcW w:w="942"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大气环境弱扩散重点管控区、建设用地污染风险重点管控区、高污染燃料禁燃区</w:t>
            </w:r>
          </w:p>
          <w:p>
            <w:pPr>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195"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942"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942"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591" w:type="pct"/>
            <w:vMerge w:val="continue"/>
            <w:shd w:val="clear" w:color="auto" w:fill="auto"/>
            <w:noWrap/>
            <w:vAlign w:val="center"/>
          </w:tcPr>
          <w:p>
            <w:pPr>
              <w:widowControl/>
              <w:jc w:val="left"/>
              <w:rPr>
                <w:rFonts w:ascii="Times New Roman" w:hAnsi="Times New Roman" w:eastAsia="仿宋" w:cs="Times New Roman"/>
                <w:bCs/>
                <w:kern w:val="0"/>
                <w:sz w:val="20"/>
                <w:szCs w:val="20"/>
              </w:rPr>
            </w:pPr>
          </w:p>
        </w:tc>
        <w:tc>
          <w:tcPr>
            <w:tcW w:w="386" w:type="pct"/>
            <w:vMerge w:val="continue"/>
            <w:shd w:val="clear" w:color="auto" w:fill="auto"/>
            <w:noWrap/>
            <w:vAlign w:val="center"/>
          </w:tcPr>
          <w:p>
            <w:pPr>
              <w:widowControl/>
              <w:jc w:val="left"/>
              <w:rPr>
                <w:rFonts w:ascii="Times New Roman" w:hAnsi="Times New Roman" w:eastAsia="仿宋" w:cs="Times New Roman"/>
                <w:bCs/>
                <w:color w:val="FF0000"/>
                <w:kern w:val="0"/>
                <w:sz w:val="20"/>
                <w:szCs w:val="20"/>
              </w:rPr>
            </w:pPr>
          </w:p>
        </w:tc>
        <w:tc>
          <w:tcPr>
            <w:tcW w:w="45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195"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延吉市人民政府关于划定高污染燃料禁燃区的通告》执行；禁燃区内严禁新建、改建、扩建项目使用高污染燃料（集中供热锅炉、电厂锅炉除外）；禁燃区内的机关、企事业单位及其他生产经营者已建的使用高污染燃料的设施（集中供热锅炉、电厂锅炉除外），在规定期限内完成并网、拆除或改用电、天然气、液化石油气等清洁能源。</w:t>
            </w:r>
          </w:p>
        </w:tc>
        <w:tc>
          <w:tcPr>
            <w:tcW w:w="942" w:type="pct"/>
            <w:vMerge w:val="continue"/>
            <w:vAlign w:val="center"/>
          </w:tcPr>
          <w:p>
            <w:pPr>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ZH22240130001</w:t>
            </w:r>
          </w:p>
        </w:tc>
        <w:tc>
          <w:tcPr>
            <w:tcW w:w="591" w:type="pc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延吉市一般管控区</w:t>
            </w:r>
          </w:p>
        </w:tc>
        <w:tc>
          <w:tcPr>
            <w:tcW w:w="386" w:type="pc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3-一般管控</w:t>
            </w:r>
          </w:p>
        </w:tc>
        <w:tc>
          <w:tcPr>
            <w:tcW w:w="45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19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42"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w:t>
            </w:r>
          </w:p>
        </w:tc>
      </w:tr>
    </w:tbl>
    <w:p>
      <w:pPr>
        <w:rPr>
          <w:rFonts w:ascii="Times New Roman" w:hAnsi="Times New Roman" w:eastAsia="仿宋" w:cs="Times New Roman"/>
          <w:color w:val="FF0000"/>
        </w:rPr>
      </w:pPr>
    </w:p>
    <w:p>
      <w:pPr>
        <w:keepNext/>
        <w:keepLines/>
        <w:spacing w:before="260" w:after="260"/>
        <w:outlineLvl w:val="1"/>
        <w:rPr>
          <w:rFonts w:ascii="Times New Roman" w:hAnsi="Times New Roman" w:eastAsia="仿宋" w:cs="Times New Roman"/>
          <w:b/>
          <w:bCs/>
          <w:sz w:val="32"/>
          <w:szCs w:val="32"/>
        </w:rPr>
      </w:pPr>
      <w:bookmarkStart w:id="144" w:name="_Toc26227"/>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十三） 延边朝鲜族自治州图们市生态环境准入清单</w:t>
      </w:r>
      <w:bookmarkEnd w:id="144"/>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表4-43-1 延边朝鲜族自治州图们市区域特征研判</w:t>
      </w:r>
    </w:p>
    <w:tbl>
      <w:tblPr>
        <w:tblStyle w:val="19"/>
        <w:tblW w:w="5000" w:type="pct"/>
        <w:tblInd w:w="0" w:type="dxa"/>
        <w:tblLayout w:type="autofit"/>
        <w:tblCellMar>
          <w:top w:w="0" w:type="dxa"/>
          <w:left w:w="108" w:type="dxa"/>
          <w:bottom w:w="0" w:type="dxa"/>
          <w:right w:w="108" w:type="dxa"/>
        </w:tblCellMar>
      </w:tblPr>
      <w:tblGrid>
        <w:gridCol w:w="4755"/>
        <w:gridCol w:w="6842"/>
        <w:gridCol w:w="4942"/>
        <w:gridCol w:w="4608"/>
      </w:tblGrid>
      <w:tr>
        <w:tblPrEx>
          <w:tblCellMar>
            <w:top w:w="0" w:type="dxa"/>
            <w:left w:w="108" w:type="dxa"/>
            <w:bottom w:w="0" w:type="dxa"/>
            <w:right w:w="108" w:type="dxa"/>
          </w:tblCellMar>
        </w:tblPrEx>
        <w:trPr>
          <w:trHeight w:val="172"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231"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1.《吉林省主体功能区规划》中的国家级重点开发区域。</w:t>
            </w:r>
          </w:p>
          <w:p>
            <w:pPr>
              <w:rPr>
                <w:rFonts w:ascii="Times New Roman" w:hAnsi="Times New Roman" w:eastAsia="仿宋" w:cs="Times New Roman"/>
                <w:bCs/>
                <w:szCs w:val="21"/>
              </w:rPr>
            </w:pPr>
            <w:r>
              <w:rPr>
                <w:rFonts w:ascii="Times New Roman" w:hAnsi="Times New Roman" w:eastAsia="仿宋" w:cs="Times New Roman"/>
                <w:bCs/>
                <w:szCs w:val="21"/>
              </w:rPr>
              <w:t>2.属于国家层面重点开发区域——长吉图经济区。</w:t>
            </w:r>
          </w:p>
          <w:p>
            <w:pPr>
              <w:rPr>
                <w:rFonts w:ascii="Times New Roman" w:hAnsi="Times New Roman" w:eastAsia="仿宋" w:cs="Times New Roman"/>
                <w:szCs w:val="21"/>
              </w:rPr>
            </w:pPr>
            <w:r>
              <w:rPr>
                <w:rFonts w:ascii="Times New Roman" w:hAnsi="Times New Roman" w:eastAsia="仿宋" w:cs="Times New Roman"/>
                <w:bCs/>
                <w:szCs w:val="21"/>
              </w:rPr>
              <w:t>3. 位于吉林省东部，长白山脉东麓，图们江下游，与朝鲜咸境北道稳城郡隔江相望，东与珲春市相邻，西与州府延吉市相连，南与龙井市相接，北与汪清县相邻，总面积1142.65平方公里，下辖4个镇、3个街道。</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1.围绕物质富庶、精神富足、文化多彩、环境优美的城市发展理念，全力打造“实力、活力、魅力、生态、善治、幸福”6个图们建设。</w:t>
            </w:r>
          </w:p>
          <w:p>
            <w:pPr>
              <w:rPr>
                <w:rFonts w:ascii="Times New Roman" w:hAnsi="Times New Roman" w:eastAsia="仿宋" w:cs="Times New Roman"/>
                <w:bCs/>
                <w:szCs w:val="21"/>
              </w:rPr>
            </w:pPr>
            <w:r>
              <w:rPr>
                <w:rFonts w:ascii="Times New Roman" w:hAnsi="Times New Roman" w:eastAsia="仿宋" w:cs="Times New Roman"/>
                <w:bCs/>
                <w:szCs w:val="21"/>
              </w:rPr>
              <w:t>2. 按照统筹发展、开放发展、创新发展、绿色发展、安全发展、和谐发展的基本原则，着力推进城乡发展、开放合作、现代工业、文旅融合、服务业提档、乡村振兴、深化改革、生态环保、社会治理、民生保障等重点任务。</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东北虎豹国家公园、吉林满天星国家森林公园、日光山省级森林公园、图们市枫梧水库生活饮用水水源保护区、图们市石头河水利枢纽工程饮用水水源保护区、图们市国家级公益林。</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（1）改善区域水环境质量。</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表4-43-2 延边朝鲜族自治州图们市生态环境准入清单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800"/>
        <w:gridCol w:w="1612"/>
        <w:gridCol w:w="1498"/>
        <w:gridCol w:w="9637"/>
        <w:gridCol w:w="3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62"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8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54"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78"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891"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ZH22240210001</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东北虎豹国家公园</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2生态保护红线内国家公园执行《国家公园管理暂行办法》相关要求。</w:t>
            </w:r>
          </w:p>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3</w:t>
            </w:r>
            <w:r>
              <w:rPr>
                <w:rFonts w:ascii="Times New Roman" w:hAnsi="Times New Roman" w:eastAsia="仿宋" w:cs="Times New Roman"/>
                <w:bCs/>
                <w:kern w:val="0"/>
                <w:sz w:val="20"/>
                <w:szCs w:val="20"/>
              </w:rPr>
              <w:t>生态保护红线内饮用水水源保护区执行《中华人民共和国水污染防治法》《饮用水水源保护区污染防治管理规定》《吉林省城镇饮用水水源保护条例》相关要求。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ZH22240210002</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吉林满天星国家森林公园</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3生态保护红线内风景名胜区执行《风景名胜区条例》相关要求。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ZH22240210003</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日光山省级森林公园</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ZH22240210004</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吉林满天星风景名胜区</w:t>
            </w:r>
          </w:p>
        </w:tc>
        <w:tc>
          <w:tcPr>
            <w:tcW w:w="38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54"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8" w:type="pct"/>
            <w:vAlign w:val="center"/>
          </w:tcPr>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1原则上按限制开发区域的要求进行管理。避免开发建设活动损害生态服务功能和生态产品质量。</w:t>
            </w:r>
          </w:p>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2风景名胜区执行《风景名胜区条例》相关要求。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ZH22240210005</w:t>
            </w:r>
          </w:p>
        </w:tc>
        <w:tc>
          <w:tcPr>
            <w:tcW w:w="662"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图们市枫梧水库生活饮用水水源保护区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ZH22240210006</w:t>
            </w:r>
          </w:p>
        </w:tc>
        <w:tc>
          <w:tcPr>
            <w:tcW w:w="662"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图们市枫梧水库生活饮用水水源保护区</w:t>
            </w:r>
          </w:p>
        </w:tc>
        <w:tc>
          <w:tcPr>
            <w:tcW w:w="38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354"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8" w:type="pct"/>
            <w:vAlign w:val="center"/>
          </w:tcPr>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1原则上按限制开发区域的要求进行管理。避免开发建设活动损害生态服务功能和生态产品质量。</w:t>
            </w:r>
          </w:p>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2饮用水水源保护区执行《中华人民共和国水污染防治法》《饮用水水源保护区污染防治管理规定》《吉林省城镇饮用水水源保护条例》相关要求。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ZH22240210007</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图们市石头河水利枢纽工程饮用水水源保护区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ZH22240210008</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图们市石头河水利枢纽工程饮用水水源保护区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ZH22240210009</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图们市国家级公益林</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2国家级公益林执行</w:t>
            </w:r>
            <w:r>
              <w:rPr>
                <w:rFonts w:hint="eastAsia" w:ascii="Times New Roman" w:hAnsi="Times New Roman" w:eastAsia="仿宋" w:cs="Times New Roman"/>
                <w:bCs/>
                <w:kern w:val="0"/>
                <w:sz w:val="20"/>
                <w:szCs w:val="20"/>
              </w:rPr>
              <w:t>《国家级公益林管理办法》（2017年修订）</w:t>
            </w:r>
            <w:r>
              <w:rPr>
                <w:rFonts w:ascii="Times New Roman" w:hAnsi="Times New Roman" w:eastAsia="仿宋" w:cs="Times New Roman"/>
                <w:bCs/>
                <w:kern w:val="0"/>
                <w:sz w:val="20"/>
                <w:szCs w:val="20"/>
              </w:rPr>
              <w:t>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ZH22240210010</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图们市水源涵养功能生态保护红线</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ZH22240210011</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图们市水源涵养功能重要区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8</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ZH22240210012</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图们市生物多样性重要性</w:t>
            </w:r>
          </w:p>
        </w:tc>
        <w:tc>
          <w:tcPr>
            <w:tcW w:w="381" w:type="pct"/>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35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78"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ZH22240210013</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图们市防风固沙重要区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ZH22240210014</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图们市水土保持功能重要区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ZH22240210015</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图们市水土流失敏感区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ZH22240210016</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图们市其他生态功能生态保护红线</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891"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ZH22240220001</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吉林图们边境经济合作区</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1严格控制高耗水、高污染行业发展。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w:t>
            </w: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3禁止限制类及淘汰类企业入区。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4国际上和国家各部门禁止或准备禁止生产的项目、明令淘汰项目，超过生态承载力的开发活动，也应禁止入区。</w:t>
            </w:r>
          </w:p>
        </w:tc>
        <w:tc>
          <w:tcPr>
            <w:tcW w:w="891" w:type="pct"/>
            <w:vMerge w:val="restar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现代物流、水产品加工集散、商业服务、旅游康养、食品加工、机械电子、汽车制造、医药制造、轻纺工业、新能源、节能环保、精细化工、新材料及应用化工等。</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8"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1"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891"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ZH22240220002</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延龙图新区（吉林延龙图文化旅游园）</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3除在全或者产业布局等方面有特殊要求的项目外，应避免大规模排放水污染物的项目布局建设。</w:t>
            </w:r>
          </w:p>
        </w:tc>
        <w:tc>
          <w:tcPr>
            <w:tcW w:w="891"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把延龙图新区打造成延边绿色转型发展引领区、创新发展示范区、高端服务集聚区、国际休闲度假旅游区、面向东北亚国际合作的新高地、东北沿边经济发展的增长极、我国东北地区实施“一带一路”战略的重要支点。</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文化旅游、现代服务、特色种植</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《关于开展畜禽养殖禁养区划定工作的通知》《畜禽规模养殖污染防治条例》《吉林省生态环境保护“十四五”规划》《企业事业单位突发环境事件应急预案备案管理办法（试行）》《吉林省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78" w:type="pct"/>
            <w:shd w:val="clear" w:color="auto" w:fill="auto"/>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891"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tc>
        <w:tc>
          <w:tcPr>
            <w:tcW w:w="891"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1除在安全或者产业布局等方面有特殊要求的项目外，应严格控制新建、扩建采用高污染燃料的项目和设施。</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3完成吉林省下达的产能置换要求。各产业执行对应的清洁生产标准。</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ZH22240220003</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图们化工新材料循环经济产业园区</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shd w:val="clear" w:color="auto" w:fill="auto"/>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tc>
        <w:tc>
          <w:tcPr>
            <w:tcW w:w="891" w:type="pct"/>
            <w:vMerge w:val="restar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78"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2完成吉林省下达的产能置换要求。各产业执行对应的清洁生产标准。</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ZH22240220004</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图们市城镇开发边界</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tc>
        <w:tc>
          <w:tcPr>
            <w:tcW w:w="891"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78"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891"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78"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ZH22240220005</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图们市大气环境高排放重点管控区</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27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891"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大气环境高排放重点管控区、建设用地污染风险重点管控区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《污染地块土壤环境管理办法（试行）》《工矿用地土壤环境管理办法（试行）》《中共吉林省委 吉林省人民政府关于深入打好污染防治攻坚战的实施意见》《吉林省减污降碳协同增效实施方案》《吉林省生态环境保护“十四五”规划》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7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91"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62"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8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5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7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1"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ZH22240220006</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图们市大气环境弱扩散重点管控区</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除在安全或者产业布局等方面有特殊要求的项目外，宜避免大规模排放大气污染物的项目布局建设。</w:t>
            </w:r>
          </w:p>
        </w:tc>
        <w:tc>
          <w:tcPr>
            <w:tcW w:w="891"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91"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ZH22240220007</w:t>
            </w:r>
          </w:p>
        </w:tc>
        <w:tc>
          <w:tcPr>
            <w:tcW w:w="66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图们市建设用地污染风险重点管控区</w:t>
            </w:r>
          </w:p>
        </w:tc>
        <w:tc>
          <w:tcPr>
            <w:tcW w:w="38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354"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7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891"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建设用地污染风险重点管控区</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78"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891"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62" w:type="pct"/>
            <w:vMerge w:val="continue"/>
            <w:noWrap/>
            <w:vAlign w:val="center"/>
          </w:tcPr>
          <w:p>
            <w:pPr>
              <w:widowControl/>
              <w:jc w:val="left"/>
              <w:rPr>
                <w:rFonts w:ascii="Times New Roman" w:hAnsi="Times New Roman" w:eastAsia="仿宋" w:cs="Times New Roman"/>
                <w:bCs/>
                <w:kern w:val="0"/>
                <w:sz w:val="20"/>
                <w:szCs w:val="20"/>
              </w:rPr>
            </w:pPr>
          </w:p>
        </w:tc>
        <w:tc>
          <w:tcPr>
            <w:tcW w:w="381" w:type="pct"/>
            <w:vMerge w:val="continue"/>
            <w:noWrap/>
            <w:vAlign w:val="center"/>
          </w:tcPr>
          <w:p>
            <w:pPr>
              <w:widowControl/>
              <w:jc w:val="left"/>
              <w:rPr>
                <w:rFonts w:ascii="Times New Roman" w:hAnsi="Times New Roman" w:eastAsia="仿宋" w:cs="Times New Roman"/>
                <w:bCs/>
                <w:kern w:val="0"/>
                <w:sz w:val="20"/>
                <w:szCs w:val="20"/>
              </w:rPr>
            </w:pP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78"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891"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ZH22240230001</w:t>
            </w:r>
          </w:p>
        </w:tc>
        <w:tc>
          <w:tcPr>
            <w:tcW w:w="66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图们市一般管控区</w:t>
            </w:r>
          </w:p>
        </w:tc>
        <w:tc>
          <w:tcPr>
            <w:tcW w:w="38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3-一般管控</w:t>
            </w:r>
          </w:p>
        </w:tc>
        <w:tc>
          <w:tcPr>
            <w:tcW w:w="3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78"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89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45" w:name="_Toc18519"/>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十四） 延边朝鲜族自治州敦化市生态环境准入清单</w:t>
      </w:r>
      <w:bookmarkEnd w:id="145"/>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表4-44-1 延边朝鲜族自治州敦化市区域特征研判</w:t>
      </w:r>
    </w:p>
    <w:tbl>
      <w:tblPr>
        <w:tblStyle w:val="19"/>
        <w:tblW w:w="5000" w:type="pct"/>
        <w:tblInd w:w="0" w:type="dxa"/>
        <w:tblLayout w:type="autofit"/>
        <w:tblCellMar>
          <w:top w:w="0" w:type="dxa"/>
          <w:left w:w="108" w:type="dxa"/>
          <w:bottom w:w="0" w:type="dxa"/>
          <w:right w:w="108" w:type="dxa"/>
        </w:tblCellMar>
      </w:tblPr>
      <w:tblGrid>
        <w:gridCol w:w="4756"/>
        <w:gridCol w:w="6842"/>
        <w:gridCol w:w="3342"/>
        <w:gridCol w:w="6207"/>
      </w:tblGrid>
      <w:tr>
        <w:tblPrEx>
          <w:tblCellMar>
            <w:top w:w="0" w:type="dxa"/>
            <w:left w:w="108" w:type="dxa"/>
            <w:bottom w:w="0" w:type="dxa"/>
            <w:right w:w="108" w:type="dxa"/>
          </w:tblCellMar>
        </w:tblPrEx>
        <w:trPr>
          <w:trHeight w:val="238"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46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21"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1.《吉林省主体功能区规划》中的国家级重点生态功能区以及敦化市市区属于国家级重点开发区域。</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位于吉林省东部山区，长白山腹地，地处长吉图开发开放先导区的节点城市之一，是吉林省区域面积最大的县级市，隶属于延边朝鲜族自治州，是延边州的“西大门”面积11957平方千米，下辖4个街道、16个乡镇。</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w:t>
            </w:r>
            <w:r>
              <w:rPr>
                <w:rFonts w:ascii="Times New Roman" w:hAnsi="Times New Roman" w:eastAsia="仿宋" w:cs="Times New Roman"/>
                <w:szCs w:val="24"/>
              </w:rPr>
              <w:t xml:space="preserve"> </w:t>
            </w:r>
            <w:r>
              <w:rPr>
                <w:rFonts w:ascii="Times New Roman" w:hAnsi="Times New Roman" w:eastAsia="仿宋" w:cs="Times New Roman"/>
                <w:bCs/>
                <w:szCs w:val="21"/>
              </w:rPr>
              <w:t>将敦化建设成为经济殷实富足、文化丰富充实、政治生动活泼、社会安全有序、环境舒适宜居、对区域发展具有较强辐射带动能力的中等城市。</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 xml:space="preserve"> 要以促进制造业高端化、服务业现代化、农业特色化为主线，以强化技术引领和创新突破为核心，以重大项目建设、打造园区载体、营造创新环境为抓手，做大做强支柱产业，培育壮大优势产业，大力发展现代服务业，做特做优现代农业，努力构建现代产业发展新体系。</w:t>
            </w:r>
          </w:p>
        </w:tc>
        <w:tc>
          <w:tcPr>
            <w:tcW w:w="79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szCs w:val="24"/>
                <w:shd w:val="clear" w:color="auto" w:fill="FFFFFF"/>
              </w:rPr>
            </w:pPr>
            <w:r>
              <w:rPr>
                <w:rFonts w:ascii="Times New Roman" w:hAnsi="Times New Roman" w:eastAsia="仿宋" w:cs="Times New Roman"/>
                <w:szCs w:val="24"/>
                <w:shd w:val="clear" w:color="auto" w:fill="FFFFFF"/>
              </w:rPr>
              <w:t>水土流失。</w:t>
            </w:r>
          </w:p>
        </w:tc>
        <w:tc>
          <w:tcPr>
            <w:tcW w:w="146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吉林黄泥河国家级自然保护区、吉林雁鸣湖国家级自然保护区、吉林明月松茸省级自然保护区</w:t>
            </w:r>
            <w:r>
              <w:rPr>
                <w:rFonts w:hint="eastAsia" w:ascii="Times New Roman" w:hAnsi="Times New Roman" w:eastAsia="仿宋" w:cs="Times New Roman"/>
                <w:bCs/>
                <w:szCs w:val="21"/>
              </w:rPr>
              <w:t>、</w:t>
            </w:r>
            <w:r>
              <w:rPr>
                <w:rFonts w:ascii="Times New Roman" w:hAnsi="Times New Roman" w:eastAsia="仿宋" w:cs="Times New Roman"/>
                <w:bCs/>
                <w:szCs w:val="21"/>
              </w:rPr>
              <w:t>吉林红石国家森林公园、大砬子省级森林公园、敦化市布库里山省级森林公园、吉林敦化平顶山省级森林公园、吉林六顶山风景名胜区、吉林大石头亚光湖国家湿地公园、吉林敦化秋梨沟国家湿地公园、敦化市香水水库集中式饮用水水源保护区、敦化市小石河水库饮用水水源保护区、牡丹江上游黑斑狗鱼国家级水产种质资源保护区、珠尔多河洛氏鱥国家级水产种质资源保护区、小石河冷水鱼国家级水产种质资源保护区、国家级公益林、水功能区一级区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（1）加强湿地保护与管理能力建设、水土流失治理，推动天然林封育保护。</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表4-44-2 延边朝鲜族自治州敦化市生态环境准入清单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466"/>
        <w:gridCol w:w="1650"/>
        <w:gridCol w:w="1764"/>
        <w:gridCol w:w="9519"/>
        <w:gridCol w:w="3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583"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90"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17"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50"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27"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ZH22240310001</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吉林黄泥河国家级自然保护区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ZH22240310002</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吉林黄泥河国家级自然保护区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4重要湿地执行《中华人民共和国湿地保护法》《湿地保护管理规定》《吉林省湿地保护条例》《关于特别是作为水禽栖息地的国际重要湿地公约》相关要求。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自然保护区、水产种质资源保护区、重要湿地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ZH22240310003</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吉林雁鸣湖国家级自然保护区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4生态保护红线内重要湿地执行《中华人民共和国湿地保护法》《湿地保护管理规定》《吉林省湿地保护条例》《关于特别是作为水禽栖息地的国际重要湿地公约》相关要求。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自然保护区、水产种质资源保护区、重要湿地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ZH22240310004</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吉林明月松茸省级自然保护区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ZH22240310005</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吉林红石国家森林公园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2国家级森林公园执行《国家级自然公园管理办法（试行）》相关要求。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ZH22240310006</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大砬子省级森林公园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ZH22240310007</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敦化市布库里山省级森林公园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ZH22240310008</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吉林敦化平顶山省级森林公园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ZH22240310009</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吉林六顶山风景名胜区</w:t>
            </w:r>
          </w:p>
        </w:tc>
        <w:tc>
          <w:tcPr>
            <w:tcW w:w="390"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0" w:type="pct"/>
            <w:vAlign w:val="center"/>
          </w:tcPr>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1原则上按限制开发区域的要求进行管理。避免开发建设活动损害生态服务功能和生态产品质量。</w:t>
            </w:r>
          </w:p>
          <w:p>
            <w:pPr>
              <w:jc w:val="left"/>
              <w:rPr>
                <w:rFonts w:ascii="Times New Roman" w:hAnsi="Times New Roman" w:eastAsia="仿宋" w:cs="Times New Roman"/>
                <w:bCs/>
                <w:sz w:val="20"/>
                <w:szCs w:val="20"/>
              </w:rPr>
            </w:pPr>
            <w:r>
              <w:rPr>
                <w:rFonts w:ascii="Times New Roman" w:hAnsi="Times New Roman" w:eastAsia="仿宋" w:cs="Times New Roman"/>
                <w:bCs/>
                <w:sz w:val="20"/>
                <w:szCs w:val="20"/>
              </w:rPr>
              <w:t>2风景名胜区执行《风景名胜区条例》相关要求。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ZH22240310010</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吉林大石头亚光湖国家湿地公园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r>
              <w:rPr>
                <w:rFonts w:hint="eastAsia" w:ascii="Times New Roman" w:hAnsi="Times New Roman" w:eastAsia="仿宋" w:cs="Times New Roman"/>
                <w:bCs/>
                <w:kern w:val="0"/>
                <w:sz w:val="20"/>
                <w:szCs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ZH22240310011</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吉林敦化秋梨沟国家湿地公园</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ZH22240310012</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敦化市香水水库集中式饮用水水源保护区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ZH22240310013</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敦化市小石河水库饮用水水源保护区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3</w:t>
            </w:r>
            <w:r>
              <w:rPr>
                <w:rFonts w:ascii="Times New Roman" w:hAnsi="Times New Roman" w:eastAsia="仿宋" w:cs="Times New Roman"/>
                <w:bCs/>
                <w:kern w:val="0"/>
                <w:sz w:val="20"/>
                <w:szCs w:val="20"/>
              </w:rPr>
              <w:t>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ZH22240310014</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牡丹江上游黑斑狗鱼国家级水产种质资源保护区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ZH22240310015</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珠尔多河洛氏鱥国家级水产种质资源保护区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ZH22240310016</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小石河冷水鱼国家级水产种质资源保护区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ZH22240310017</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敦化市国家级公益林</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2执行</w:t>
            </w:r>
            <w:r>
              <w:rPr>
                <w:rFonts w:hint="eastAsia" w:ascii="Times New Roman" w:hAnsi="Times New Roman" w:eastAsia="仿宋" w:cs="Times New Roman"/>
                <w:bCs/>
                <w:kern w:val="0"/>
                <w:sz w:val="20"/>
                <w:szCs w:val="20"/>
              </w:rPr>
              <w:t>《国家级公益林管理办法》（2017年修订）</w:t>
            </w:r>
            <w:r>
              <w:rPr>
                <w:rFonts w:ascii="Times New Roman" w:hAnsi="Times New Roman" w:eastAsia="仿宋" w:cs="Times New Roman"/>
                <w:bCs/>
                <w:kern w:val="0"/>
                <w:sz w:val="20"/>
                <w:szCs w:val="20"/>
              </w:rPr>
              <w:t>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ZH22240310018</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牡丹江水功能区一级区保护区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ZH22240310019</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海浪河水功能区一级区保护区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ZH22240310020</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富尔河水功能区一级区保护区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ZH22240310021</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敦化市松花江水源涵养与生物多样性维护功能生态保护红线</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w:t>
            </w:r>
            <w:r>
              <w:rPr>
                <w:rFonts w:hint="eastAsia" w:ascii="Times New Roman" w:hAnsi="Times New Roman" w:eastAsia="仿宋" w:cs="Times New Roman"/>
                <w:bCs/>
                <w:kern w:val="0"/>
                <w:sz w:val="20"/>
                <w:szCs w:val="20"/>
              </w:rPr>
              <w:t>维护</w:t>
            </w:r>
            <w:r>
              <w:rPr>
                <w:rFonts w:ascii="Times New Roman" w:hAnsi="Times New Roman" w:eastAsia="仿宋" w:cs="Times New Roman"/>
                <w:bCs/>
                <w:kern w:val="0"/>
                <w:sz w:val="20"/>
                <w:szCs w:val="20"/>
              </w:rPr>
              <w:t>、水源涵养、江河源头区域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ZH22240310022</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敦化市水源涵养功能生态保护红线</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ZH22240310023</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敦化市水源涵养功能重要区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水源涵养、防风固沙、生物多样性、水土保持、水土流失、土地沙化、江河源头区域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ZH22240310024</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敦化市松花江生物多样性维护功能生态保护红线</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3生态保护红线内重要湿地执行《中华人民共和国湿地保护法》《湿地保护管理规定》《吉林省湿地保护条例》《关于特别是作为水禽栖息地的国际重要湿地公约》相关要求。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ZH22240310025</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敦化市生物多样性重要区</w:t>
            </w:r>
          </w:p>
        </w:tc>
        <w:tc>
          <w:tcPr>
            <w:tcW w:w="390" w:type="pct"/>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50"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ZH22240310026</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敦化市防风固沙功能生态保护红线</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3生态保护红线内重要湿地执行《中华人民共和国湿地保护法》《湿地保护管理规定》《吉林省湿地保护条例》《关于特别是作为水禽栖息地的国际重要湿地公约》相关要求。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防风固沙、饮用水水源保护区、重要湿地、江河源头区域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ZH22240310027</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敦化市防风固沙重要区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ZH22240310028</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敦化市松嫩平原水土保持功能生态保护红线</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ZH22240310029</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敦化市水土保持功能重要区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ZH22240310030</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敦化市水土流失敏感区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ZH22240320001</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吉林敦化经济开发区</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w:t>
            </w: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2严格限制排放重金属污染物的项目入区。</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3严格控制高耗水、高污染行业发展。</w:t>
            </w:r>
          </w:p>
        </w:tc>
        <w:tc>
          <w:tcPr>
            <w:tcW w:w="927"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以资源深加工为主，以两头外在加工为辅，以集团企业为骨干，以龙头工程为主导的外向型、高科技、高效益的现代化经济区。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医药制造、木制品及机械加工、汽车配件、工程机械设备、高新机械研发和生产、食品及保健品加工、轻工加工、仓储物流、综合服务、精细化工产业。</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园区规划环评、《企业事业单位突发环境事件应急预案备案管理办法（试行）》《中共吉林省委 吉林省人民政府关于深入打好污染防治攻坚战的实施意见》《吉林省减污降碳协同增效实施方案》《吉林省 “十四五”节能减排综合实施方案》《污染地块土壤环境管理办法（试行）》《工矿用地土壤环境管理办法（试行）》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50"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7"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环境风险防控</w:t>
            </w:r>
          </w:p>
        </w:tc>
        <w:tc>
          <w:tcPr>
            <w:tcW w:w="225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583"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9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1</w:t>
            </w:r>
            <w:r>
              <w:rPr>
                <w:rFonts w:ascii="Times New Roman" w:hAnsi="Times New Roman" w:eastAsia="仿宋" w:cs="Times New Roman"/>
                <w:bCs/>
                <w:kern w:val="0"/>
                <w:sz w:val="20"/>
                <w:szCs w:val="20"/>
              </w:rPr>
              <w:t>在造纸、化工、粮食深加工等重点行业推广实施节水改造和污水深度处理。鼓励钢铁、纺织印染、造纸、石油石化、化工、制革等高耗水企业废水深度处理回用。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ZH22240320002</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敦化六鼎山文化旅游区</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吉林省第一家文化旅游区、东北亚旅游黄金大通道的重要节点和旅游目的地。</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旅游业、服务业</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《关于开展畜禽养殖禁养区划定工作的通知》《畜禽规模养殖污染防治条例》《吉林省生态环境保护“十四五”规划》《企业事业单位突发环境事件应急预案备案管理办法（试行）》《吉林省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927"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583"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9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环境风险防控</w:t>
            </w:r>
          </w:p>
        </w:tc>
        <w:tc>
          <w:tcPr>
            <w:tcW w:w="2250" w:type="pct"/>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583"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9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5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ZH22240320003</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敦化市城镇开发边界</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5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4城市建成区内污染超标企业实施有序搬迁改造或依法关闭。</w:t>
            </w:r>
          </w:p>
        </w:tc>
        <w:tc>
          <w:tcPr>
            <w:tcW w:w="927"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大气环境受体敏感重点管控区、水环境风险重点管控区、水环境城镇生活污染重点管控区、建设用地污染风险重点管控区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生态环境保护“十四五”规划》《污染地块土壤环境管理办法（试行）》《工矿用地土壤环境管理办法（试行）》《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研究建立统筹水环境、水资源和水生态监测评价体系，对重要江河湖库开展水生态环境评价预警。建设和完善城乡污水处理设施及配套管网工程，定期排查和不定期抽查工业企业排污情况。加强污水管网提升改造建设，提高城镇生活污水集中处理率。</w:t>
            </w:r>
          </w:p>
        </w:tc>
        <w:tc>
          <w:tcPr>
            <w:tcW w:w="927"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环境风险防控</w:t>
            </w:r>
          </w:p>
        </w:tc>
        <w:tc>
          <w:tcPr>
            <w:tcW w:w="225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583"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9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5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ZH22240320004</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敦化市大气环境高排放重点管控区</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大气环境高排放重点管控区、水环境风险重点管控区、水环境农业污染重点管控区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1研究建立统筹水环境、水资源和水生态监测评价体系，对重要江河湖库开展水生态环境评价预警。</w:t>
            </w:r>
          </w:p>
          <w:p>
            <w:pPr>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2建设和完善城乡污水处理设施及配套管网工程，定期排查和不定期抽查工业企业排污情况。加强污水管网提升改造建设，提高城镇生活污水集中处理率。</w:t>
            </w:r>
          </w:p>
          <w:p>
            <w:pPr>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规模化畜禽养殖场（小区）应当保证畜禽粪污无害化处理和资源化利用设施的正常运转。散养密集区要实行畜禽粪便污水分户收集、集中处理利用。</w:t>
            </w:r>
          </w:p>
          <w:p>
            <w:pPr>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4</w:t>
            </w:r>
            <w:r>
              <w:rPr>
                <w:rFonts w:ascii="Times New Roman" w:hAnsi="Times New Roman" w:eastAsia="仿宋" w:cs="Times New Roman"/>
                <w:kern w:val="0"/>
                <w:sz w:val="20"/>
                <w:szCs w:val="20"/>
              </w:rPr>
              <w:t>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5</w:t>
            </w:r>
            <w:r>
              <w:rPr>
                <w:rFonts w:ascii="Times New Roman" w:hAnsi="Times New Roman" w:eastAsia="仿宋" w:cs="Times New Roman"/>
                <w:kern w:val="0"/>
                <w:sz w:val="20"/>
                <w:szCs w:val="20"/>
              </w:rPr>
              <w:t>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27" w:type="pct"/>
            <w:vMerge w:val="continue"/>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50" w:type="pct"/>
            <w:vAlign w:val="center"/>
          </w:tcPr>
          <w:p>
            <w:pPr>
              <w:jc w:val="left"/>
              <w:rPr>
                <w:rFonts w:ascii="Times New Roman" w:hAnsi="Times New Roman" w:eastAsia="仿宋" w:cs="Times New Roman"/>
                <w:kern w:val="0"/>
                <w:sz w:val="20"/>
                <w:szCs w:val="20"/>
              </w:rPr>
            </w:pPr>
            <w:r>
              <w:rPr>
                <w:rFonts w:hint="eastAsia" w:ascii="Times New Roman" w:hAnsi="Times New Roman" w:eastAsia="仿宋" w:cs="Times New Roman"/>
                <w:bCs/>
                <w:kern w:val="0"/>
                <w:sz w:val="20"/>
                <w:szCs w:val="20"/>
              </w:rPr>
              <w:t>严格管理涉及易导致环境风险的有毒有害和易燃易爆物质的生产、使用、贮运等新建、改扩建项目</w:t>
            </w:r>
            <w:r>
              <w:rPr>
                <w:rFonts w:ascii="Times New Roman" w:hAnsi="Times New Roman" w:eastAsia="仿宋" w:cs="Times New Roman"/>
                <w:bCs/>
                <w:kern w:val="0"/>
                <w:sz w:val="20"/>
                <w:szCs w:val="20"/>
              </w:rPr>
              <w:t>。</w:t>
            </w:r>
          </w:p>
        </w:tc>
        <w:tc>
          <w:tcPr>
            <w:tcW w:w="927" w:type="pct"/>
            <w:vMerge w:val="continue"/>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ZH22240320005</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敦化市水环境农业污染重点管控区</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污染物排放控制</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规模化畜禽养殖场（小区）应当保证畜禽粪污无害化处理和资源化利用设施的正常运转。散养密集区要实行畜禽粪便污水分户收集、集中处理利用。</w:t>
            </w:r>
          </w:p>
        </w:tc>
        <w:tc>
          <w:tcPr>
            <w:tcW w:w="927" w:type="pct"/>
            <w:vMerge w:val="restar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水环境农业污染重点管控区、建设用地污染风险重点管控区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ZH22240320006</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敦化市水环境</w:t>
            </w:r>
            <w:r>
              <w:rPr>
                <w:rFonts w:hint="eastAsia" w:ascii="Times New Roman" w:hAnsi="Times New Roman" w:eastAsia="仿宋" w:cs="Times New Roman"/>
                <w:bCs/>
                <w:kern w:val="0"/>
                <w:sz w:val="20"/>
                <w:szCs w:val="20"/>
              </w:rPr>
              <w:t>风险</w:t>
            </w:r>
            <w:r>
              <w:rPr>
                <w:rFonts w:ascii="Times New Roman" w:hAnsi="Times New Roman" w:eastAsia="仿宋" w:cs="Times New Roman"/>
                <w:bCs/>
                <w:kern w:val="0"/>
                <w:sz w:val="20"/>
                <w:szCs w:val="20"/>
              </w:rPr>
              <w:t>重点管控区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0" w:type="pct"/>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1研究建立统筹水环境、水资源和水生态监测评价体系，对重要江河湖库开展水生态环境评价预警。</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2建设和完善城乡污水处理设施及配套管网工程，定期排查和不定期抽查工业企业排污情况。加强污水管网提升改造建设，提高城镇生活污水集中处理率。</w:t>
            </w:r>
          </w:p>
        </w:tc>
        <w:tc>
          <w:tcPr>
            <w:tcW w:w="927" w:type="pct"/>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水环境风险重点管控区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《吉林省“十四五”重点流域水生态环境保护规划》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ZH22240320007</w:t>
            </w:r>
          </w:p>
        </w:tc>
        <w:tc>
          <w:tcPr>
            <w:tcW w:w="583"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敦化市建设用地污染风险重点管控区</w:t>
            </w:r>
          </w:p>
        </w:tc>
        <w:tc>
          <w:tcPr>
            <w:tcW w:w="39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rPr>
              <w:t>空间布局约束</w:t>
            </w:r>
          </w:p>
        </w:tc>
        <w:tc>
          <w:tcPr>
            <w:tcW w:w="225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1"/>
              </w:rPr>
              <w:t>敦化塔东铁矿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建设用地污染风险重点管控区、敦化塔东铁矿重点矿区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《污染地块土壤环境管理办法（试行）》《工矿用地土壤环境管理办法（试行）》</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583"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vMerge w:val="continue"/>
            <w:noWrap/>
            <w:vAlign w:val="center"/>
          </w:tcPr>
          <w:p>
            <w:pPr>
              <w:widowControl/>
              <w:jc w:val="left"/>
              <w:rPr>
                <w:rFonts w:ascii="Times New Roman" w:hAnsi="Times New Roman" w:eastAsia="仿宋" w:cs="Times New Roman"/>
                <w:bCs/>
                <w:kern w:val="0"/>
                <w:sz w:val="20"/>
                <w:szCs w:val="20"/>
              </w:rPr>
            </w:pPr>
          </w:p>
        </w:tc>
        <w:tc>
          <w:tcPr>
            <w:tcW w:w="417"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5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27"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583"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9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ZH22240320008</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敦化塔东铁矿重点矿区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2-重点管控</w:t>
            </w:r>
          </w:p>
        </w:tc>
        <w:tc>
          <w:tcPr>
            <w:tcW w:w="417"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rPr>
              <w:t>空间布局约束</w:t>
            </w:r>
          </w:p>
        </w:tc>
        <w:tc>
          <w:tcPr>
            <w:tcW w:w="2250" w:type="pct"/>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1"/>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敦化塔东铁矿重点矿区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ZH22240330001</w:t>
            </w:r>
          </w:p>
        </w:tc>
        <w:tc>
          <w:tcPr>
            <w:tcW w:w="583"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敦化市一般管控区</w:t>
            </w:r>
          </w:p>
        </w:tc>
        <w:tc>
          <w:tcPr>
            <w:tcW w:w="39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3-一般管控</w:t>
            </w:r>
          </w:p>
        </w:tc>
        <w:tc>
          <w:tcPr>
            <w:tcW w:w="41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2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46" w:name="_Toc9441"/>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十五） 延边朝鲜族自治州珲春市生态环境准入清单</w:t>
      </w:r>
      <w:bookmarkEnd w:id="146"/>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表4-45-1 延边朝鲜族自治州珲春市区域特征研判</w:t>
      </w:r>
    </w:p>
    <w:tbl>
      <w:tblPr>
        <w:tblStyle w:val="19"/>
        <w:tblW w:w="5000" w:type="pct"/>
        <w:tblInd w:w="0" w:type="dxa"/>
        <w:tblLayout w:type="autofit"/>
        <w:tblCellMar>
          <w:top w:w="0" w:type="dxa"/>
          <w:left w:w="108" w:type="dxa"/>
          <w:bottom w:w="0" w:type="dxa"/>
          <w:right w:w="108" w:type="dxa"/>
        </w:tblCellMar>
      </w:tblPr>
      <w:tblGrid>
        <w:gridCol w:w="4713"/>
        <w:gridCol w:w="5716"/>
        <w:gridCol w:w="4777"/>
        <w:gridCol w:w="5941"/>
      </w:tblGrid>
      <w:tr>
        <w:tblPrEx>
          <w:tblCellMar>
            <w:top w:w="0" w:type="dxa"/>
            <w:left w:w="108" w:type="dxa"/>
            <w:bottom w:w="0" w:type="dxa"/>
            <w:right w:w="108" w:type="dxa"/>
          </w:tblCellMar>
        </w:tblPrEx>
        <w:tc>
          <w:tcPr>
            <w:tcW w:w="11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35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4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416" w:hRule="atLeast"/>
        </w:trPr>
        <w:tc>
          <w:tcPr>
            <w:tcW w:w="111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1.《吉林省主体功能区规划》中的国家级重点开发区域。</w:t>
            </w:r>
          </w:p>
          <w:p>
            <w:pPr>
              <w:rPr>
                <w:rFonts w:ascii="Times New Roman" w:hAnsi="Times New Roman" w:eastAsia="仿宋" w:cs="Times New Roman"/>
                <w:szCs w:val="21"/>
              </w:rPr>
            </w:pPr>
            <w:r>
              <w:rPr>
                <w:rFonts w:ascii="Times New Roman" w:hAnsi="Times New Roman" w:eastAsia="仿宋" w:cs="Times New Roman"/>
                <w:bCs/>
                <w:szCs w:val="21"/>
              </w:rPr>
              <w:t>2.位于吉林省东部的图们江下游，是吉林省最东端的城市，是中国唯一地处中俄朝三国交界的边境窗口城市，总面积5134平方公里，下辖4个街道、4个镇、3个乡、2个民族乡、国家批准设立了中国图们江区域(珲春)国际合作示范区、珲春海洋经济发展示范区和边境经济合作区(含综合保税区、中俄互市贸易区)。</w:t>
            </w:r>
          </w:p>
        </w:tc>
        <w:tc>
          <w:tcPr>
            <w:tcW w:w="135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落实吉林省和延边州面向东北亚开发开放的战略部署，完善城市功能，提升城市能级，重点发展海洋经济、加工制造业、生态旅游、现代农业和现代服务业等开放型产业。至2035年，人与自然和谐共生空间格局基本形成。粮食安全保障夯实，生态文明建设取得重大成效。综合实力、创新能力、开放活力大幅跃升，跨国海洋经济产业链形成边境旅游影响力不断扩大。全域魅力格局更加彰显，城市服务水平和环境品质更加高质量，人民生活更加富足安康，高水平建成美丽、宜居、幸福珲春。</w:t>
            </w:r>
          </w:p>
        </w:tc>
        <w:tc>
          <w:tcPr>
            <w:tcW w:w="112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水土流失。</w:t>
            </w:r>
          </w:p>
        </w:tc>
        <w:tc>
          <w:tcPr>
            <w:tcW w:w="140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东北虎豹国家公园、吉林图们江国家森林公园、珲春密江省级森林公园、吉林防川国家级风景名胜区、珲春市老龙口水库生活饮用水水源保护区、珲春市国家级公益林。</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（1）开展饮用水水源规范化建设；加大水产种质资源保护区保护力度。</w:t>
            </w:r>
          </w:p>
          <w:p>
            <w:pPr>
              <w:rPr>
                <w:rFonts w:ascii="Times New Roman" w:hAnsi="Times New Roman" w:eastAsia="仿宋" w:cs="Times New Roman"/>
                <w:bCs/>
                <w:szCs w:val="21"/>
              </w:rPr>
            </w:pPr>
            <w:r>
              <w:rPr>
                <w:rFonts w:ascii="Times New Roman" w:hAnsi="Times New Roman" w:eastAsia="仿宋" w:cs="Times New Roman"/>
                <w:bCs/>
                <w:szCs w:val="21"/>
              </w:rPr>
              <w:t>（2）加强林区生态保护与建设，加快森林资源培育。</w:t>
            </w:r>
          </w:p>
          <w:p>
            <w:pPr>
              <w:rPr>
                <w:rFonts w:ascii="Times New Roman" w:hAnsi="Times New Roman" w:eastAsia="仿宋" w:cs="Times New Roman"/>
                <w:bCs/>
                <w:szCs w:val="21"/>
              </w:rPr>
            </w:pPr>
            <w:r>
              <w:rPr>
                <w:rFonts w:ascii="Times New Roman" w:hAnsi="Times New Roman" w:eastAsia="仿宋" w:cs="Times New Roman"/>
                <w:bCs/>
                <w:szCs w:val="21"/>
              </w:rPr>
              <w:t>（3）加强生物多样性保护。</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表4-45-2 延边朝鲜族自治州珲春市生态环境准入清单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585"/>
        <w:gridCol w:w="1566"/>
        <w:gridCol w:w="1717"/>
        <w:gridCol w:w="9531"/>
        <w:gridCol w:w="3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1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70"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06"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54"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27"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ZH22240410001</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东北虎豹国家公园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2生态保护红线内国家公园执行《国家公园管理暂行办法》相关要求。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国家公园、饮用水水源保护区、水产种质资源保护区、江河源头区域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ZH22240410002</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吉林图们江国家森林公园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3生态保护红线内</w:t>
            </w:r>
            <w:r>
              <w:rPr>
                <w:rFonts w:ascii="Times New Roman" w:hAnsi="Times New Roman" w:eastAsia="仿宋" w:cs="Times New Roman"/>
                <w:bCs/>
                <w:kern w:val="0"/>
                <w:sz w:val="20"/>
                <w:szCs w:val="20"/>
              </w:rPr>
              <w:t>风景名胜区执行《风景名胜区条例》相关要求。</w:t>
            </w:r>
          </w:p>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4</w:t>
            </w:r>
            <w:r>
              <w:rPr>
                <w:rFonts w:ascii="Times New Roman" w:hAnsi="Times New Roman" w:eastAsia="仿宋" w:cs="Times New Roman"/>
                <w:bCs/>
                <w:kern w:val="0"/>
                <w:sz w:val="20"/>
                <w:szCs w:val="20"/>
              </w:rPr>
              <w:t>生态保护红线内重要湿地执行《中华人民共和国湿地保护法》《湿地保护管理规定》《吉林省湿地保护条例》《关于特别是作为水禽栖息地的国际重要湿地公约》相关要求。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r>
              <w:rPr>
                <w:rFonts w:hint="eastAsia" w:ascii="Times New Roman" w:hAnsi="Times New Roman" w:eastAsia="仿宋" w:cs="Times New Roman"/>
                <w:bCs/>
                <w:kern w:val="0"/>
                <w:sz w:val="20"/>
                <w:szCs w:val="20"/>
              </w:rPr>
              <w:t>风景名胜区、</w:t>
            </w:r>
            <w:r>
              <w:rPr>
                <w:rFonts w:ascii="Times New Roman" w:hAnsi="Times New Roman" w:eastAsia="仿宋" w:cs="Times New Roman"/>
                <w:bCs/>
                <w:kern w:val="0"/>
                <w:sz w:val="20"/>
                <w:szCs w:val="20"/>
              </w:rPr>
              <w:t>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ZH22240410003</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珲春密江省级森林公园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ZH22240410004</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吉林防川国家级风景名胜区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2风景名胜区执行《风景名胜区条例》相关要求。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3重要湿地执行《中华人民共和国湿地保护法》《湿地保护管理规定》《吉林省湿地保护条例》《关于特别是作为水禽栖息地的国际重要湿地公约》相关要求。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ZH22240410005</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珲春市老龙口水库生活饮用水水源保护区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ZH22240410006</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珲春河大麻哈鱼国家级水产种质资源保护区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ZH22240410007</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密江河大麻哈鱼国家级水产种质资源保护区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ZH22240410008</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吉林珲春图们江湿地</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2重要湿地执行《中华人民共和国湿地保护法》《湿地保护管理规定》《吉林省湿地保护条例》《关于特别是作为水禽栖息地的国际重要湿地公约》相关要求。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重要湿地、防风固沙、水土流失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ZH22240410009</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珲春市国家级公益林</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2执行</w:t>
            </w:r>
            <w:r>
              <w:rPr>
                <w:rFonts w:hint="eastAsia" w:ascii="Times New Roman" w:hAnsi="Times New Roman" w:eastAsia="仿宋" w:cs="Times New Roman"/>
                <w:bCs/>
                <w:kern w:val="0"/>
                <w:sz w:val="20"/>
                <w:szCs w:val="20"/>
              </w:rPr>
              <w:t>《国家级公益林管理办法》（2017年修订）</w:t>
            </w:r>
            <w:r>
              <w:rPr>
                <w:rFonts w:ascii="Times New Roman" w:hAnsi="Times New Roman" w:eastAsia="仿宋" w:cs="Times New Roman"/>
                <w:bCs/>
                <w:kern w:val="0"/>
                <w:sz w:val="20"/>
                <w:szCs w:val="20"/>
              </w:rPr>
              <w:t>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ZH22240410010</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珲春市水源涵养功能重要区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ZH22240410011</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珲春市生物多样性维护功能生态保护红线</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ZH22240410012</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珲春市生物多样性重要区</w:t>
            </w:r>
          </w:p>
        </w:tc>
        <w:tc>
          <w:tcPr>
            <w:tcW w:w="370" w:type="pct"/>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06"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5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ZH22240410013</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珲春市防风固沙重要区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ZH22240410014</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珲春市水土保持功能重要区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ZH22240420001</w:t>
            </w:r>
          </w:p>
        </w:tc>
        <w:tc>
          <w:tcPr>
            <w:tcW w:w="61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珲春边境经济合作区</w:t>
            </w:r>
          </w:p>
        </w:tc>
        <w:tc>
          <w:tcPr>
            <w:tcW w:w="37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1严格控制高耗水、高污染行业发展。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2严格禁止造纸、水泥、钢铁、电镀以及含有原料药生产及化学原料合成的化工等行业以及不符合园区产业发展方向，能耗、物耗较大，污染严重的项目入区。</w:t>
            </w:r>
          </w:p>
        </w:tc>
        <w:tc>
          <w:tcPr>
            <w:tcW w:w="927"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有色金属深加工、木材加工、绿色食品加工、电子信息、汽车零部件、 生物制药、保健制品、有色金属深加工、纺织、畜产品加工、新材料、轻纺、服装、鞋帽、机电产品等</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11" w:type="pct"/>
            <w:vMerge w:val="continue"/>
            <w:noWrap/>
            <w:vAlign w:val="center"/>
          </w:tcPr>
          <w:p>
            <w:pPr>
              <w:widowControl/>
              <w:jc w:val="left"/>
              <w:rPr>
                <w:rFonts w:ascii="Times New Roman" w:hAnsi="Times New Roman" w:eastAsia="仿宋" w:cs="Times New Roman"/>
                <w:bCs/>
                <w:kern w:val="0"/>
                <w:sz w:val="20"/>
                <w:szCs w:val="20"/>
              </w:rPr>
            </w:pPr>
          </w:p>
        </w:tc>
        <w:tc>
          <w:tcPr>
            <w:tcW w:w="370" w:type="pct"/>
            <w:vMerge w:val="continue"/>
            <w:noWrap/>
            <w:vAlign w:val="center"/>
          </w:tcPr>
          <w:p>
            <w:pPr>
              <w:widowControl/>
              <w:jc w:val="left"/>
              <w:rPr>
                <w:rFonts w:ascii="Times New Roman" w:hAnsi="Times New Roman" w:eastAsia="仿宋" w:cs="Times New Roman"/>
                <w:bCs/>
                <w:kern w:val="0"/>
                <w:sz w:val="20"/>
                <w:szCs w:val="20"/>
              </w:rPr>
            </w:pPr>
          </w:p>
        </w:tc>
        <w:tc>
          <w:tcPr>
            <w:tcW w:w="406"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54"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7"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927"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ZH22240420002</w:t>
            </w:r>
          </w:p>
        </w:tc>
        <w:tc>
          <w:tcPr>
            <w:tcW w:w="61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珲春国际合作示范区化工园区</w:t>
            </w:r>
          </w:p>
        </w:tc>
        <w:tc>
          <w:tcPr>
            <w:tcW w:w="37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06"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tc>
        <w:tc>
          <w:tcPr>
            <w:tcW w:w="927"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tcPr>
          <w:p>
            <w:pPr>
              <w:widowControl/>
              <w:jc w:val="left"/>
              <w:rPr>
                <w:rFonts w:ascii="Times New Roman" w:hAnsi="Times New Roman" w:eastAsia="仿宋" w:cs="Times New Roman"/>
                <w:bCs/>
                <w:color w:val="FF0000"/>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tc>
        <w:tc>
          <w:tcPr>
            <w:tcW w:w="927"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tcPr>
          <w:p>
            <w:pPr>
              <w:widowControl/>
              <w:jc w:val="left"/>
              <w:rPr>
                <w:rFonts w:ascii="Times New Roman" w:hAnsi="Times New Roman" w:eastAsia="仿宋" w:cs="Times New Roman"/>
                <w:bCs/>
                <w:color w:val="FF0000"/>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27"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ZH22240420003</w:t>
            </w:r>
          </w:p>
        </w:tc>
        <w:tc>
          <w:tcPr>
            <w:tcW w:w="61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珲春市城镇开发边界</w:t>
            </w:r>
          </w:p>
        </w:tc>
        <w:tc>
          <w:tcPr>
            <w:tcW w:w="37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06"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5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3除在安全或者产业布局等方面有特殊要求的项目外，应避免大规模排放水污染物的项目布局建设。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4严格控制新建有色金属冶炼、石油加工、化工、焦化、电镀、制革等具有有毒有害物质排放的行业企业。</w:t>
            </w:r>
          </w:p>
        </w:tc>
        <w:tc>
          <w:tcPr>
            <w:tcW w:w="927"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11" w:type="pct"/>
            <w:vMerge w:val="continue"/>
            <w:noWrap/>
            <w:vAlign w:val="center"/>
          </w:tcPr>
          <w:p>
            <w:pPr>
              <w:widowControl/>
              <w:jc w:val="left"/>
              <w:rPr>
                <w:rFonts w:ascii="Times New Roman" w:hAnsi="Times New Roman" w:eastAsia="仿宋" w:cs="Times New Roman"/>
                <w:bCs/>
                <w:kern w:val="0"/>
                <w:sz w:val="20"/>
                <w:szCs w:val="20"/>
              </w:rPr>
            </w:pPr>
          </w:p>
        </w:tc>
        <w:tc>
          <w:tcPr>
            <w:tcW w:w="370" w:type="pct"/>
            <w:vMerge w:val="continue"/>
            <w:noWrap/>
            <w:vAlign w:val="center"/>
          </w:tcPr>
          <w:p>
            <w:pPr>
              <w:widowControl/>
              <w:jc w:val="left"/>
              <w:rPr>
                <w:rFonts w:ascii="Times New Roman" w:hAnsi="Times New Roman" w:eastAsia="仿宋" w:cs="Times New Roman"/>
                <w:bCs/>
                <w:kern w:val="0"/>
                <w:sz w:val="20"/>
                <w:szCs w:val="20"/>
              </w:rPr>
            </w:pPr>
          </w:p>
        </w:tc>
        <w:tc>
          <w:tcPr>
            <w:tcW w:w="406"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54"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27"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5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27"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ZH22240420004</w:t>
            </w:r>
          </w:p>
        </w:tc>
        <w:tc>
          <w:tcPr>
            <w:tcW w:w="61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珲春市大气环境高排放重点管控区</w:t>
            </w:r>
          </w:p>
        </w:tc>
        <w:tc>
          <w:tcPr>
            <w:tcW w:w="37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06"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54"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《中共吉林省委 吉林省人民政府关于深入打好污染防治攻坚战的实施意见》《吉林省减污降碳协同增效实施方案》《吉林省生态环境保护“十四五”规划》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11" w:type="pct"/>
            <w:vMerge w:val="continue"/>
            <w:noWrap/>
            <w:vAlign w:val="center"/>
          </w:tcPr>
          <w:p>
            <w:pPr>
              <w:widowControl/>
              <w:jc w:val="left"/>
              <w:rPr>
                <w:rFonts w:ascii="Times New Roman" w:hAnsi="Times New Roman" w:eastAsia="仿宋" w:cs="Times New Roman"/>
                <w:bCs/>
                <w:kern w:val="0"/>
                <w:sz w:val="20"/>
                <w:szCs w:val="20"/>
              </w:rPr>
            </w:pPr>
          </w:p>
        </w:tc>
        <w:tc>
          <w:tcPr>
            <w:tcW w:w="370" w:type="pct"/>
            <w:vMerge w:val="continue"/>
            <w:noWrap/>
            <w:vAlign w:val="center"/>
          </w:tcPr>
          <w:p>
            <w:pPr>
              <w:widowControl/>
              <w:jc w:val="left"/>
              <w:rPr>
                <w:rFonts w:ascii="Times New Roman" w:hAnsi="Times New Roman" w:eastAsia="仿宋" w:cs="Times New Roman"/>
                <w:bCs/>
                <w:kern w:val="0"/>
                <w:sz w:val="20"/>
                <w:szCs w:val="20"/>
              </w:rPr>
            </w:pPr>
          </w:p>
        </w:tc>
        <w:tc>
          <w:tcPr>
            <w:tcW w:w="406"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54"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27"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环境风险防控</w:t>
            </w:r>
          </w:p>
        </w:tc>
        <w:tc>
          <w:tcPr>
            <w:tcW w:w="2254" w:type="pct"/>
            <w:shd w:val="clear" w:color="auto" w:fill="auto"/>
            <w:vAlign w:val="center"/>
          </w:tcPr>
          <w:p>
            <w:pPr>
              <w:widowControl/>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tc>
        <w:tc>
          <w:tcPr>
            <w:tcW w:w="927"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ZH22240420005</w:t>
            </w:r>
          </w:p>
        </w:tc>
        <w:tc>
          <w:tcPr>
            <w:tcW w:w="61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珲春市大气环境弱扩散重点管控区</w:t>
            </w:r>
          </w:p>
        </w:tc>
        <w:tc>
          <w:tcPr>
            <w:tcW w:w="37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1除在安全或者产业布局等方面有特殊要求的项目外，宜避免大规模排放大气污染物的项目布局建设。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27"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大气环境弱扩散重点管控区、建设用地污染风险重点管控区、珲春马滴达金铜矿重点矿区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11" w:type="pct"/>
            <w:vMerge w:val="continue"/>
            <w:noWrap/>
            <w:vAlign w:val="center"/>
          </w:tcPr>
          <w:p>
            <w:pPr>
              <w:widowControl/>
              <w:jc w:val="left"/>
              <w:rPr>
                <w:rFonts w:ascii="Times New Roman" w:hAnsi="Times New Roman" w:eastAsia="仿宋" w:cs="Times New Roman"/>
                <w:bCs/>
                <w:kern w:val="0"/>
                <w:sz w:val="20"/>
                <w:szCs w:val="20"/>
              </w:rPr>
            </w:pPr>
          </w:p>
        </w:tc>
        <w:tc>
          <w:tcPr>
            <w:tcW w:w="370" w:type="pct"/>
            <w:vMerge w:val="continue"/>
            <w:noWrap/>
            <w:vAlign w:val="center"/>
          </w:tcPr>
          <w:p>
            <w:pPr>
              <w:widowControl/>
              <w:jc w:val="left"/>
              <w:rPr>
                <w:rFonts w:ascii="Times New Roman" w:hAnsi="Times New Roman" w:eastAsia="仿宋" w:cs="Times New Roman"/>
                <w:bCs/>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927"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1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37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5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ZH22240430001</w:t>
            </w:r>
          </w:p>
        </w:tc>
        <w:tc>
          <w:tcPr>
            <w:tcW w:w="61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珲春市一般管控区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3-一般管控</w:t>
            </w:r>
          </w:p>
        </w:tc>
        <w:tc>
          <w:tcPr>
            <w:tcW w:w="406"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5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27"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47" w:name="_Toc27410"/>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十六） 延边朝鲜族自治州龙井市生态环境准入清单</w:t>
      </w:r>
      <w:bookmarkEnd w:id="147"/>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表4-46-1 延边朝鲜族自治州龙井市区域特征研判</w:t>
      </w:r>
    </w:p>
    <w:tbl>
      <w:tblPr>
        <w:tblStyle w:val="19"/>
        <w:tblW w:w="5000" w:type="pct"/>
        <w:tblInd w:w="0" w:type="dxa"/>
        <w:tblLayout w:type="autofit"/>
        <w:tblCellMar>
          <w:top w:w="0" w:type="dxa"/>
          <w:left w:w="108" w:type="dxa"/>
          <w:bottom w:w="0" w:type="dxa"/>
          <w:right w:w="108" w:type="dxa"/>
        </w:tblCellMar>
      </w:tblPr>
      <w:tblGrid>
        <w:gridCol w:w="4299"/>
        <w:gridCol w:w="9044"/>
        <w:gridCol w:w="3195"/>
        <w:gridCol w:w="4609"/>
      </w:tblGrid>
      <w:tr>
        <w:tblPrEx>
          <w:tblCellMar>
            <w:top w:w="0" w:type="dxa"/>
            <w:left w:w="108" w:type="dxa"/>
            <w:bottom w:w="0" w:type="dxa"/>
            <w:right w:w="108" w:type="dxa"/>
          </w:tblCellMar>
        </w:tblPrEx>
        <w:trPr>
          <w:trHeight w:val="492" w:hRule="atLeast"/>
        </w:trPr>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213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7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704" w:hRule="atLeast"/>
        </w:trPr>
        <w:tc>
          <w:tcPr>
            <w:tcW w:w="101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1.《吉林省主体功能区规划》中的国家级重点开发区。</w:t>
            </w:r>
          </w:p>
          <w:p>
            <w:pPr>
              <w:tabs>
                <w:tab w:val="left" w:pos="312"/>
              </w:tabs>
              <w:rPr>
                <w:rFonts w:ascii="Times New Roman" w:hAnsi="Times New Roman" w:eastAsia="仿宋" w:cs="Times New Roman"/>
                <w:kern w:val="0"/>
                <w:sz w:val="20"/>
                <w:szCs w:val="21"/>
              </w:rPr>
            </w:pPr>
            <w:r>
              <w:rPr>
                <w:rFonts w:ascii="Times New Roman" w:hAnsi="Times New Roman" w:eastAsia="仿宋" w:cs="Times New Roman"/>
                <w:kern w:val="0"/>
                <w:sz w:val="20"/>
                <w:szCs w:val="21"/>
              </w:rPr>
              <w:t>2.吉林省省级全域旅游示范区。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长白山东麓，东南方向隔图们江与朝鲜相望，边境线长142.5公里；东北方向与延吉市、图们市接壤；西南方向与和龙市毗邻；西北方向与安图县相接。总面积2581平方公里，下辖5个镇、2个乡、2个街道。</w:t>
            </w:r>
          </w:p>
        </w:tc>
        <w:tc>
          <w:tcPr>
            <w:tcW w:w="213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w:t>
            </w:r>
            <w:r>
              <w:rPr>
                <w:rFonts w:ascii="Times New Roman" w:hAnsi="Times New Roman" w:eastAsia="仿宋" w:cs="Times New Roman"/>
                <w:szCs w:val="24"/>
              </w:rPr>
              <w:t xml:space="preserve"> </w:t>
            </w:r>
            <w:r>
              <w:rPr>
                <w:rFonts w:ascii="Times New Roman" w:hAnsi="Times New Roman" w:eastAsia="仿宋" w:cs="Times New Roman"/>
                <w:bCs/>
                <w:szCs w:val="21"/>
              </w:rPr>
              <w:t>长吉图国家开发开放的前沿；吉林省东部重要的对朝边贸加工基地；</w:t>
            </w:r>
          </w:p>
          <w:p>
            <w:pPr>
              <w:rPr>
                <w:rFonts w:ascii="Times New Roman" w:hAnsi="Times New Roman" w:eastAsia="仿宋" w:cs="Times New Roman"/>
                <w:bCs/>
                <w:szCs w:val="21"/>
              </w:rPr>
            </w:pPr>
            <w:r>
              <w:rPr>
                <w:rFonts w:ascii="Times New Roman" w:hAnsi="Times New Roman" w:eastAsia="仿宋" w:cs="Times New Roman"/>
                <w:bCs/>
                <w:szCs w:val="21"/>
              </w:rPr>
              <w:t>延边州重要的安全农业生产基地；延边州重要的食品、民族旅游纪念品加工业基地；延边州重要的朝鲜族民俗人文风情展示区；延龙图地区的副中心城市；延龙图地区东北亚开发开放的桥头堡。</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 xml:space="preserve"> 将龙井市与延吉市一体化进行考虑，加强对朝开发、开放的力度，完善对朝出海通道的对接，在区域空间内构建起以公路、铁路、航空、海运为一体的立体交通运输网络，形成陆、海、空联运的国内、国际通道。同时，加强三合口岸、开山屯口岸中朝互市贸易区的建设与经济合作，将此区域建设成为延龙图城市组合区对外的窗口与合作平台。充分利用龙井市临近朝鲜及其港口的区位优势、资源优势，将境外的自然资源、人力资源以及交通优势转化为本地产业发展的优势，充分利用国内外近邻城市的产业基础，加强城市间的产业合作，进行协同式的发展。区域发展应立足于安全，构建起以保持边境地区安宁与稳定的国防安全、以资源环境承载能力为底线的生态安全和具有“地理标志产品 ”保护品牌的农业产业安全的安全体系。区域发展应传承地方民族文化，彰显地域人文特色，促进城镇建设与周边良好的生态环境相融合，实现人与自然和谐共生。</w:t>
            </w:r>
          </w:p>
        </w:tc>
        <w:tc>
          <w:tcPr>
            <w:tcW w:w="7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吉林天佛指山国家级自然保护区、吉林明月松茸省级自然保护区、龙井市大新水库生活饮用水水源保护区。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w:t>
            </w:r>
            <w:r>
              <w:rPr>
                <w:rFonts w:hint="eastAsia" w:ascii="Times New Roman" w:hAnsi="Times New Roman" w:eastAsia="仿宋" w:cs="Times New Roman"/>
                <w:bCs/>
                <w:szCs w:val="21"/>
              </w:rPr>
              <w:t>改善区域水环境质量。</w:t>
            </w:r>
          </w:p>
          <w:p>
            <w:pPr>
              <w:rPr>
                <w:rFonts w:ascii="Times New Roman" w:hAnsi="Times New Roman" w:eastAsia="仿宋" w:cs="Times New Roman"/>
                <w:bCs/>
                <w:szCs w:val="21"/>
              </w:rPr>
            </w:pPr>
            <w:r>
              <w:rPr>
                <w:rFonts w:hint="eastAsia" w:ascii="Times New Roman" w:hAnsi="Times New Roman" w:eastAsia="仿宋" w:cs="Times New Roman"/>
                <w:bCs/>
                <w:szCs w:val="21"/>
              </w:rPr>
              <w:t>（2）</w:t>
            </w:r>
            <w:r>
              <w:rPr>
                <w:rFonts w:ascii="Times New Roman" w:hAnsi="Times New Roman" w:eastAsia="仿宋" w:cs="Times New Roman"/>
                <w:bCs/>
                <w:szCs w:val="21"/>
              </w:rPr>
              <w:t>加强林区生态保护与建设，加快森林资源培育。</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表4-46-2 延边朝鲜族自治州龙井市生态环境准入清单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707"/>
        <w:gridCol w:w="1760"/>
        <w:gridCol w:w="1836"/>
        <w:gridCol w:w="9312"/>
        <w:gridCol w:w="3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40"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16"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434"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01"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875"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ZH22240510001</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吉林天佛指山国家级自然保护区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ZH22240510002</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吉林明月松茸省级自然保护区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ZH22240510003</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龙井市大新水库生活饮用水水源保护区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饮用水水源保护区执行《中华人民共和国水污染防治法》《饮用水水源保护区污染防治管理规定》《吉林省城镇饮用水水源保护条例》相关要求。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ZH22240510004</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龙井市水源涵养功能生态保护红线</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ZH22240510005</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龙井市图们江水源涵养与生物多样性维护功能生态保护红线</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ZH22240510006</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龙井市水源涵养功能重要区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ZH22240510007</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龙井市生物多样性维护功能生态保护红线</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ZH22240510008</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龙井市生物多样性重要区</w:t>
            </w:r>
          </w:p>
        </w:tc>
        <w:tc>
          <w:tcPr>
            <w:tcW w:w="416" w:type="pct"/>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34"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201"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2禁止生物多样性维护生态功能区的大规模水电开发和林纸一体化产业发展。禁止各种损害栖息地的经济社会活动和生产方式，如无序采矿、毁林开荒、湿地和草地开垦等。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ZH22240510009</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龙井市防风固沙重要区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2禁止发展高耗水工业。</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防风固沙、水土保持、水土流失、盐渍化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ZH22240510010</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龙井市水土保持功能重要区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ZH22240510011</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龙井市水土流失敏感区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ZH22240510012</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龙井市其他生态功能生态保护红线</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ZH22240520001</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吉林龙井边境经济合作区</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1严格控制高耗水、高污染行业发展。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2严格禁止造纸、水泥、钢铁、电镀以及含有原料药生产及化学原料合成的化工等行业以及不符合园区产业发展方向，能耗、物耗较大，污染严重的项目入区。</w:t>
            </w:r>
          </w:p>
        </w:tc>
        <w:tc>
          <w:tcPr>
            <w:tcW w:w="875" w:type="pct"/>
            <w:vMerge w:val="restar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①西部服务区:包含居住、科研教育、文化娱乐、商业贸易等多种综合服务功能。②东部服务区:主要以居住、商业服务为主，为就业职工以及居民提供居住以及商业服务。③加工制造园区：产业类型主要为轻工业、医药（生物医药及中药加工）及食品加工业。</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201"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75"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624"/>
              </w:tabs>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75" w:type="pct"/>
            <w:vMerge w:val="continue"/>
            <w:vAlign w:val="center"/>
          </w:tcPr>
          <w:p>
            <w:pPr>
              <w:widowControl/>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624"/>
              </w:tabs>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875"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tabs>
                <w:tab w:val="left" w:pos="624"/>
              </w:tabs>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ZH22240520002</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延龙图新区（吉林延龙图文化旅游园）</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3除在全或者产业布局等方面有特殊要求的项目外，应避免大规模排放水污染物的项目布局建设。</w:t>
            </w:r>
          </w:p>
        </w:tc>
        <w:tc>
          <w:tcPr>
            <w:tcW w:w="87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w:t>
            </w:r>
            <w:r>
              <w:rPr>
                <w:rFonts w:ascii="Times New Roman" w:hAnsi="Times New Roman" w:eastAsia="仿宋" w:cs="Times New Roman"/>
                <w:sz w:val="20"/>
                <w:szCs w:val="20"/>
              </w:rPr>
              <w:t>水环境城镇生活污染重点管控区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把延龙图新区打造成延边绿色转型发展引领区、创新发展示范区、高端服务集聚区、国际休闲度假旅游区、面向东北亚国际合作的新高地、东北沿边经济发展的增长极、我国东北地区实施“一带一路”战略的重要支点。</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文化旅游、现代服务、特色种植</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园区规划环评、《关于开展畜禽养殖禁养区划定工作的通知》《畜禽规模养殖污染防治条例》《吉林省生态环境保护“十四五”规划》《企业事业单位突发环境事件应急预案备案管理办法（试行）》《吉林省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624"/>
              </w:tabs>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1"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严格落实规划环评及其批复文件制定的污染物排放管控措施。</w:t>
            </w:r>
          </w:p>
        </w:tc>
        <w:tc>
          <w:tcPr>
            <w:tcW w:w="875"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624"/>
              </w:tabs>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tc>
        <w:tc>
          <w:tcPr>
            <w:tcW w:w="875"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tabs>
                <w:tab w:val="left" w:pos="624"/>
              </w:tabs>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1除在安全或者产业布局等方面有特殊要求的项目外，应严格控制新建、扩建采用高污染燃料的项目和设施。</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3完成吉林省下达的产能置换要求。各产业执行对应的清洁生产标准。</w:t>
            </w:r>
          </w:p>
        </w:tc>
        <w:tc>
          <w:tcPr>
            <w:tcW w:w="87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ZH22240520003</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龙井市城镇开发边界</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tc>
        <w:tc>
          <w:tcPr>
            <w:tcW w:w="87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大气环境受体敏感重点管控区、水环境城镇生活污染重点管控区、建设用地污染风险重点管控区、龙井天宝山铅锌矿重点矿区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污染物排放管控</w:t>
            </w:r>
          </w:p>
        </w:tc>
        <w:tc>
          <w:tcPr>
            <w:tcW w:w="2201"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87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7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640"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87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ZH22240520004</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龙井市大气环境高排放重点管控区</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钢铁、焦化、电解铝、铸造、水泥和平板玻璃等行业新增产能，列入去产能的钢铁企业退出时须一并退出配套的烧结、焦炉、高炉等设备。推进煤炭、矿石、钢材、石油、粮食、建材、焦炭等大宗货物中长途运输“公转铁”。</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7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大气环境高排放重点管控区、建设用地污染风险重点管控区、龙井天宝山铅锌矿重点矿区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《中共吉林省委 吉林省人民政府关于深入打好污染防治攻坚战的实施意见》《吉林省减污降碳协同增效实施方案》《吉林省生态环境保护“十四五”规划》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7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r>
              <w:rPr>
                <w:rFonts w:hint="eastAsia" w:ascii="Times New Roman" w:hAnsi="Times New Roman" w:eastAsia="仿宋" w:cs="Times New Roman"/>
                <w:sz w:val="20"/>
                <w:szCs w:val="20"/>
              </w:rPr>
              <w:t>。</w:t>
            </w:r>
          </w:p>
        </w:tc>
        <w:tc>
          <w:tcPr>
            <w:tcW w:w="87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ZH22240520005</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龙井市大气环境布局敏感重点管控区</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7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大气环境布局敏感重点管控区、水环境农业污染重点管控区、建设用地污染风险重点管控区、龙井天宝山铅锌矿重点矿区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4规模化畜禽养殖场（小区）应当保证畜禽粪污无害化处理和资源化利用设施的正常运转。散养密集区要实行畜禽粪便污水分户收集、集中处理利用。</w:t>
            </w:r>
          </w:p>
        </w:tc>
        <w:tc>
          <w:tcPr>
            <w:tcW w:w="87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color w:val="FF0000"/>
                <w:kern w:val="0"/>
                <w:sz w:val="20"/>
                <w:szCs w:val="20"/>
              </w:rPr>
            </w:pPr>
          </w:p>
        </w:tc>
        <w:tc>
          <w:tcPr>
            <w:tcW w:w="434" w:type="pct"/>
            <w:shd w:val="clear" w:color="auto" w:fill="auto"/>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环境风险防控</w:t>
            </w:r>
          </w:p>
        </w:tc>
        <w:tc>
          <w:tcPr>
            <w:tcW w:w="22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严格管理涉及易导致环境风险的有毒有害和易燃易爆物质的生产、使用、贮运等新建、改扩建项目</w:t>
            </w:r>
            <w:r>
              <w:rPr>
                <w:rFonts w:ascii="Times New Roman" w:hAnsi="Times New Roman" w:eastAsia="仿宋" w:cs="Times New Roman"/>
                <w:kern w:val="0"/>
                <w:sz w:val="20"/>
                <w:szCs w:val="20"/>
              </w:rPr>
              <w:t>。</w:t>
            </w:r>
          </w:p>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7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ZH22240520006</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龙井市大气环境弱扩散重点管控区</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87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大气环境弱扩散重点管控区、水环境农业污染重点管控区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4规模化畜禽养殖场（小区）应当保证畜禽粪污无害化处理和资源化利用设施的正常运转。散养密集区要实行畜禽粪便污水分户收集、集中处理利用。</w:t>
            </w:r>
          </w:p>
        </w:tc>
        <w:tc>
          <w:tcPr>
            <w:tcW w:w="87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7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ZH22240520007</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龙井市水环境农业污染重点管控区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规模化畜禽养殖场（小区）应当保证畜禽粪污无害化处理和资源化利用设施的正常运转。散养密集区要实行畜禽粪便污水分户收集、集中处理利用。</w:t>
            </w:r>
          </w:p>
        </w:tc>
        <w:tc>
          <w:tcPr>
            <w:tcW w:w="87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水环境农业污染重点管控区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ZH22240520008</w:t>
            </w:r>
          </w:p>
        </w:tc>
        <w:tc>
          <w:tcPr>
            <w:tcW w:w="640"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龙井市建设用地污染风险重点管控区</w:t>
            </w:r>
          </w:p>
        </w:tc>
        <w:tc>
          <w:tcPr>
            <w:tcW w:w="41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2-重点管控</w:t>
            </w:r>
          </w:p>
        </w:tc>
        <w:tc>
          <w:tcPr>
            <w:tcW w:w="434"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87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建设用地污染风险重点管控区</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bCs/>
                <w:kern w:val="0"/>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87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bCs/>
                <w:kern w:val="0"/>
                <w:sz w:val="20"/>
                <w:szCs w:val="20"/>
              </w:rPr>
            </w:pPr>
          </w:p>
        </w:tc>
        <w:tc>
          <w:tcPr>
            <w:tcW w:w="640" w:type="pct"/>
            <w:vMerge w:val="continue"/>
            <w:noWrap/>
            <w:vAlign w:val="center"/>
          </w:tcPr>
          <w:p>
            <w:pPr>
              <w:widowControl/>
              <w:jc w:val="left"/>
              <w:rPr>
                <w:rFonts w:ascii="Times New Roman" w:hAnsi="Times New Roman" w:eastAsia="仿宋" w:cs="Times New Roman"/>
                <w:bCs/>
                <w:kern w:val="0"/>
                <w:sz w:val="20"/>
                <w:szCs w:val="20"/>
              </w:rPr>
            </w:pPr>
          </w:p>
        </w:tc>
        <w:tc>
          <w:tcPr>
            <w:tcW w:w="416" w:type="pct"/>
            <w:vMerge w:val="continue"/>
            <w:noWrap/>
            <w:vAlign w:val="center"/>
          </w:tcPr>
          <w:p>
            <w:pPr>
              <w:widowControl/>
              <w:jc w:val="left"/>
              <w:rPr>
                <w:rFonts w:ascii="Times New Roman" w:hAnsi="Times New Roman" w:eastAsia="仿宋" w:cs="Times New Roman"/>
                <w:bCs/>
                <w:kern w:val="0"/>
                <w:sz w:val="20"/>
                <w:szCs w:val="20"/>
              </w:rPr>
            </w:pPr>
          </w:p>
        </w:tc>
        <w:tc>
          <w:tcPr>
            <w:tcW w:w="43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7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ZH22240530001</w:t>
            </w:r>
          </w:p>
        </w:tc>
        <w:tc>
          <w:tcPr>
            <w:tcW w:w="64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龙井市一般管控区</w:t>
            </w:r>
          </w:p>
        </w:tc>
        <w:tc>
          <w:tcPr>
            <w:tcW w:w="41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3-一般管控</w:t>
            </w:r>
          </w:p>
        </w:tc>
        <w:tc>
          <w:tcPr>
            <w:tcW w:w="434"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87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48" w:name="_Toc7620"/>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十七） 延边朝鲜族自治州和龙市生态环境准入清单</w:t>
      </w:r>
      <w:bookmarkEnd w:id="148"/>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表4-47-1 延边朝鲜族自治州和龙市区域特征研判</w:t>
      </w:r>
    </w:p>
    <w:tbl>
      <w:tblPr>
        <w:tblStyle w:val="19"/>
        <w:tblW w:w="5000" w:type="pct"/>
        <w:tblInd w:w="0" w:type="dxa"/>
        <w:tblLayout w:type="autofit"/>
        <w:tblCellMar>
          <w:top w:w="0" w:type="dxa"/>
          <w:left w:w="108" w:type="dxa"/>
          <w:bottom w:w="0" w:type="dxa"/>
          <w:right w:w="108" w:type="dxa"/>
        </w:tblCellMar>
      </w:tblPr>
      <w:tblGrid>
        <w:gridCol w:w="4540"/>
        <w:gridCol w:w="7751"/>
        <w:gridCol w:w="3351"/>
        <w:gridCol w:w="5505"/>
      </w:tblGrid>
      <w:tr>
        <w:tblPrEx>
          <w:tblCellMar>
            <w:top w:w="0" w:type="dxa"/>
            <w:left w:w="108" w:type="dxa"/>
            <w:bottom w:w="0" w:type="dxa"/>
            <w:right w:w="108" w:type="dxa"/>
          </w:tblCellMar>
        </w:tblPrEx>
        <w:tc>
          <w:tcPr>
            <w:tcW w:w="107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83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7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30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416" w:hRule="atLeast"/>
        </w:trPr>
        <w:tc>
          <w:tcPr>
            <w:tcW w:w="107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南部，延边朝鲜族自治州南部，地处长白山东麓，图们江上游北岸，东与龙井市接壤，西与安图县毗邻，北与龙井、安图两市县搭界，南与朝鲜民主主义人民共和国咸境北道、两江道隔图们江相望。面积5068.07平方公里，下辖3个街道、8个镇。</w:t>
            </w:r>
          </w:p>
        </w:tc>
        <w:tc>
          <w:tcPr>
            <w:tcW w:w="183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1．建设东北东部绿色发展示范区。依托生态本底、生态优势培育发展绿色产业体系，建设国家重点生态功能区和全域旅游示范区，探索走出生态良好、绿色转型、文明富裕的新道路新模式。</w:t>
            </w:r>
          </w:p>
          <w:p>
            <w:pPr>
              <w:rPr>
                <w:rFonts w:ascii="Times New Roman" w:hAnsi="Times New Roman" w:eastAsia="仿宋" w:cs="Times New Roman"/>
                <w:bCs/>
                <w:szCs w:val="21"/>
              </w:rPr>
            </w:pPr>
            <w:r>
              <w:rPr>
                <w:rFonts w:ascii="Times New Roman" w:hAnsi="Times New Roman" w:eastAsia="仿宋" w:cs="Times New Roman"/>
                <w:bCs/>
                <w:szCs w:val="21"/>
              </w:rPr>
              <w:t>2.建设东北宜居宜业宜游宜养首选区。以旅游城、健康城、开放城，彰显地方人文特色、健康养老优势、创新创造活力为目标，更好满足人民对美好生活的需要，不断增强人民获得感幸福感安全感。</w:t>
            </w:r>
          </w:p>
          <w:p>
            <w:pPr>
              <w:rPr>
                <w:rFonts w:ascii="Times New Roman" w:hAnsi="Times New Roman" w:eastAsia="仿宋" w:cs="Times New Roman"/>
                <w:bCs/>
                <w:szCs w:val="21"/>
              </w:rPr>
            </w:pPr>
            <w:r>
              <w:rPr>
                <w:rFonts w:ascii="Times New Roman" w:hAnsi="Times New Roman" w:eastAsia="仿宋" w:cs="Times New Roman"/>
                <w:bCs/>
                <w:szCs w:val="21"/>
              </w:rPr>
              <w:t>3.建设吉林省沿边开放合作先行区。对接长吉图开发开放战略和沿边开发开放经济带，聚焦对朝、对韩经贸合作，加快建设边境、跨境经济合作区和边民互市贸易区，打造吉林面向俄、朝、韩、日、蒙等东北亚国家的开放合作新高地新平台。</w:t>
            </w:r>
          </w:p>
          <w:p>
            <w:pPr>
              <w:rPr>
                <w:rFonts w:ascii="Times New Roman" w:hAnsi="Times New Roman" w:eastAsia="仿宋" w:cs="Times New Roman"/>
                <w:bCs/>
                <w:szCs w:val="21"/>
              </w:rPr>
            </w:pPr>
            <w:r>
              <w:rPr>
                <w:rFonts w:ascii="Times New Roman" w:hAnsi="Times New Roman" w:eastAsia="仿宋" w:cs="Times New Roman"/>
                <w:bCs/>
                <w:szCs w:val="21"/>
              </w:rPr>
              <w:t xml:space="preserve">4.建设“双碳”工作先行示范区。积极推进绿色高质量发展，构建集绿色技术、政策法规和市场交易于一体的绿色低碳循环发展模式。从结构降碳、技术减碳、管理低碳三个方面构建研究体系，有力推动“双碳”工作先行示范区建设， </w:t>
            </w:r>
          </w:p>
          <w:p>
            <w:pPr>
              <w:rPr>
                <w:rFonts w:ascii="Times New Roman" w:hAnsi="Times New Roman" w:eastAsia="仿宋" w:cs="Times New Roman"/>
                <w:bCs/>
                <w:szCs w:val="21"/>
              </w:rPr>
            </w:pPr>
            <w:r>
              <w:rPr>
                <w:rFonts w:ascii="Times New Roman" w:hAnsi="Times New Roman" w:eastAsia="仿宋" w:cs="Times New Roman"/>
                <w:bCs/>
                <w:szCs w:val="21"/>
              </w:rPr>
              <w:t>5.建设民族团结进步示范区。全面打造一批美丽村庄、美丽庭院、美丽田园；结合全域旅游，搭建各具特色的节庆民俗、展览展演、文化旅游等平台。建设一批基础牢、产业兴、环境美、生活好、边疆稳、党建强的现代化乡村振兴重点边境村，形成边境民族团结进步、兴边富民的示范点和示范带。</w:t>
            </w:r>
          </w:p>
          <w:p>
            <w:pPr>
              <w:rPr>
                <w:rFonts w:ascii="Times New Roman" w:hAnsi="Times New Roman" w:eastAsia="仿宋" w:cs="Times New Roman"/>
                <w:bCs/>
                <w:szCs w:val="21"/>
              </w:rPr>
            </w:pPr>
          </w:p>
        </w:tc>
        <w:tc>
          <w:tcPr>
            <w:tcW w:w="79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30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甑峰岭国家级自然保护区、吉林明月松茸省级自然保护区、吉林海兰江源省级自然保护区、吉林延边仙峰国家森林公园、吉林图们江源国家森林公园、吉林和龙金达莱省级森林公园、仙景台国家风景自然公园、吉林仙景台国家级风景名胜区、吉林和龙泉水河国家湿地公园、吉林八家子古洞河国家湿地公园、吉林和龙古城里湖省级湿地公园、和龙市松月水库饮用水水源保护区、和龙红旗河马苏大麻哈鱼陆封型国家级水产种质资源保护区、和龙蜂蜜河特有鱼类省级水产种质资源保护区、水功能区一级区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w:t>
            </w:r>
            <w:r>
              <w:rPr>
                <w:rFonts w:hint="eastAsia" w:ascii="Times New Roman" w:hAnsi="Times New Roman" w:eastAsia="仿宋" w:cs="Times New Roman"/>
                <w:bCs/>
                <w:szCs w:val="21"/>
              </w:rPr>
              <w:t>改善区域水环境质量</w:t>
            </w:r>
            <w:r>
              <w:rPr>
                <w:rFonts w:ascii="Times New Roman" w:hAnsi="Times New Roman" w:eastAsia="仿宋" w:cs="Times New Roman"/>
                <w:bCs/>
                <w:szCs w:val="21"/>
              </w:rPr>
              <w:t>。</w:t>
            </w:r>
          </w:p>
          <w:p>
            <w:pPr>
              <w:rPr>
                <w:rFonts w:ascii="Times New Roman" w:hAnsi="Times New Roman" w:eastAsia="仿宋" w:cs="Times New Roman"/>
                <w:bCs/>
                <w:szCs w:val="21"/>
              </w:rPr>
            </w:pPr>
            <w:r>
              <w:rPr>
                <w:rFonts w:ascii="Times New Roman" w:hAnsi="Times New Roman" w:eastAsia="仿宋" w:cs="Times New Roman"/>
                <w:bCs/>
                <w:szCs w:val="21"/>
              </w:rPr>
              <w:t>（</w:t>
            </w:r>
            <w:r>
              <w:rPr>
                <w:rFonts w:hint="eastAsia" w:ascii="Times New Roman" w:hAnsi="Times New Roman" w:eastAsia="仿宋" w:cs="Times New Roman"/>
                <w:bCs/>
                <w:szCs w:val="21"/>
              </w:rPr>
              <w:t>2</w:t>
            </w:r>
            <w:r>
              <w:rPr>
                <w:rFonts w:ascii="Times New Roman" w:hAnsi="Times New Roman" w:eastAsia="仿宋" w:cs="Times New Roman"/>
                <w:bCs/>
                <w:szCs w:val="21"/>
              </w:rPr>
              <w:t>）加强林区生态保护与建设，加快森林资源培育。</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表4-47-2 延边朝鲜族自治州和龙市生态环境准入清单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699"/>
        <w:gridCol w:w="1447"/>
        <w:gridCol w:w="1650"/>
        <w:gridCol w:w="9734"/>
        <w:gridCol w:w="3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38"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42"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90"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301"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895"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吉林甑峰岭国家级自然保护区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吉林明月松茸省级自然保护区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ZH22240610003</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吉林海兰江源省级自然保护区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ZH22240610004</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吉林延边仙峰国家森林公园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w:t>
            </w:r>
            <w:r>
              <w:rPr>
                <w:rFonts w:hint="eastAsia" w:ascii="Times New Roman" w:hAnsi="Times New Roman" w:eastAsia="仿宋" w:cs="Times New Roman"/>
                <w:bCs/>
                <w:kern w:val="0"/>
                <w:sz w:val="20"/>
                <w:szCs w:val="20"/>
              </w:rPr>
              <w:t>5</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吉林延边仙峰国家森林公园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2国家级森林公园执行《国家级自然公园管理办法（试行）》相关要求。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ZH22240610006</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吉林图们江源国家森林公园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4生态保护红线内重要湿地执行《中华人民共和国湿地保护法》《湿地保护管理规定》《吉林省湿地保护条例》《关于特别是作为水禽栖息地的国际重要湿地公约》相关要求。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森林公园、水产种质资源保护区、重要湿地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ZH22240610007</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吉林和龙金达莱省级森林公园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ZH22240610008</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吉林仙景台国家级风景名胜区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2生态保护红线内风景名胜区执行《风景名胜区条例》相关要求。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ZH22240610009</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吉林仙景台国家级风景名胜区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2风景名胜区执行《风景名胜区条例》相关要求。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ZH22240610010</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吉林和龙泉水河国家湿地公园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吉林八家子古洞河国家湿地公园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w:t>
            </w:r>
            <w:r>
              <w:rPr>
                <w:rFonts w:hint="eastAsia" w:ascii="Times New Roman" w:hAnsi="Times New Roman" w:eastAsia="仿宋" w:cs="Times New Roman"/>
                <w:bCs/>
                <w:kern w:val="0"/>
                <w:sz w:val="20"/>
                <w:szCs w:val="20"/>
              </w:rPr>
              <w:t>重要湿地、</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吉林和龙古城里湖省级湿地公园</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湿地公园、水产种质资源保护区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ZH22240610013</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和龙市松月水库饮用水水源保护区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ZH22240610014</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和龙红旗河马苏大麻哈鱼陆封型国家级水产种质资源保护区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ZH22240610015</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和龙蜂蜜河特有鱼类省级水产种质资源保护区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 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ZH22240610016</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古洞河水功能区一级区保护区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ZH22240610017</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和龙市水源涵养功能生态保护红线</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ZH22240610018</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和龙市松花江水源涵养与生物多样性维护功能生态保护红线</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w:t>
            </w:r>
            <w:r>
              <w:rPr>
                <w:rFonts w:hint="eastAsia" w:ascii="Times New Roman" w:hAnsi="Times New Roman" w:eastAsia="仿宋" w:cs="Times New Roman"/>
                <w:bCs/>
                <w:kern w:val="0"/>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ZH22240610019</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和龙市图们江水源涵养与生物多样性维护功能生态保护红线</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水源涵养、生物多样性维护、水产种质资源保护区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ZH22240610020</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和龙市水源涵养功能重要区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8江河源头区域执行《水功能区监督管理办法》相关要求。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和龙市生物多样性维护功能生态保护红线</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和龙市生物多样性重要区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2禁止各种损害栖息地的经济社会活动和生产方式，如无序采矿、毁林开荒、湿地和草地开垦等。</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ZH22240610023</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和龙市防风固沙重要区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ZH22240610024</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和龙市水土保持功能生态保护红线</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2生态保护红线内水产种质资源保护区执行《水产种质资源保护区管理办法》相关要求。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ZH22240610025</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和龙市水土保持功能重要区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ZH22240610026</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和龙市水土流失敏感区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ZH22240620001</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和龙边境经济合作区</w:t>
            </w:r>
          </w:p>
        </w:tc>
        <w:tc>
          <w:tcPr>
            <w:tcW w:w="342"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空间布局约束</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严格控制高耗水、高污染行业发展。</w:t>
            </w:r>
          </w:p>
        </w:tc>
        <w:tc>
          <w:tcPr>
            <w:tcW w:w="89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大气环境高排放重点管控区、水环境工业污染重点管控区、建设用地污染风险重点管控区</w:t>
            </w:r>
          </w:p>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长吉图开发开放重要窗口，吉林省省沿边开放的新引擎。</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轻工纺织服装加工产业、农产品深加工产业、物流服务业、旅游服务业、边民互市贸易、医药制造</w:t>
            </w:r>
          </w:p>
          <w:p>
            <w:pPr>
              <w:widowControl/>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sz w:val="20"/>
                <w:szCs w:val="20"/>
              </w:rPr>
            </w:pPr>
          </w:p>
        </w:tc>
        <w:tc>
          <w:tcPr>
            <w:tcW w:w="390" w:type="pct"/>
            <w:shd w:val="clear" w:color="auto" w:fill="auto"/>
            <w:vAlign w:val="center"/>
          </w:tcPr>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污染物排放管控</w:t>
            </w:r>
          </w:p>
        </w:tc>
        <w:tc>
          <w:tcPr>
            <w:tcW w:w="2301" w:type="pct"/>
            <w:shd w:val="clear" w:color="auto" w:fill="auto"/>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895"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shd w:val="clear" w:color="auto" w:fill="auto"/>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5"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shd w:val="clear" w:color="auto" w:fill="auto"/>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资源开发效率</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895"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ZH22240620002</w:t>
            </w:r>
          </w:p>
        </w:tc>
        <w:tc>
          <w:tcPr>
            <w:tcW w:w="638"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和龙市城镇开发边界</w:t>
            </w:r>
          </w:p>
        </w:tc>
        <w:tc>
          <w:tcPr>
            <w:tcW w:w="342"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tc>
        <w:tc>
          <w:tcPr>
            <w:tcW w:w="89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大气环境受体敏感重点管控区、水环境城镇生活污染重点管控区、建设用地污染风险重点管控区、和龙鸡南-官地铁矿重点矿区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污染地块土壤环境管理办法（试行）》《工矿用地土壤环境管理办法（试行）》《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vAlign w:val="center"/>
          </w:tcPr>
          <w:p>
            <w:pPr>
              <w:widowControl/>
              <w:rPr>
                <w:rFonts w:ascii="Times New Roman" w:hAnsi="Times New Roman" w:eastAsia="仿宋" w:cs="Times New Roman"/>
                <w:bCs/>
                <w:color w:val="FF0000"/>
                <w:kern w:val="0"/>
                <w:sz w:val="20"/>
                <w:szCs w:val="20"/>
              </w:rPr>
            </w:pPr>
            <w:r>
              <w:rPr>
                <w:rFonts w:ascii="Times New Roman" w:hAnsi="Times New Roman" w:eastAsia="仿宋" w:cs="Times New Roman"/>
                <w:kern w:val="0"/>
                <w:sz w:val="20"/>
                <w:szCs w:val="20"/>
              </w:rPr>
              <w:t>污染物排放管控</w:t>
            </w:r>
          </w:p>
        </w:tc>
        <w:tc>
          <w:tcPr>
            <w:tcW w:w="2301" w:type="pct"/>
            <w:vAlign w:val="center"/>
          </w:tcPr>
          <w:p>
            <w:pPr>
              <w:widowControl/>
              <w:rPr>
                <w:rFonts w:ascii="Times New Roman" w:hAnsi="Times New Roman" w:eastAsia="仿宋" w:cs="Times New Roman"/>
                <w:bCs/>
                <w:color w:val="FF0000"/>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89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shd w:val="clear" w:color="auto" w:fill="auto"/>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Cs/>
                <w:kern w:val="0"/>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shd w:val="clear" w:color="auto" w:fill="auto"/>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sz w:val="20"/>
                <w:szCs w:val="20"/>
              </w:rPr>
              <w:t>资源开发效率</w:t>
            </w:r>
          </w:p>
        </w:tc>
        <w:tc>
          <w:tcPr>
            <w:tcW w:w="2301" w:type="pct"/>
            <w:shd w:val="clear" w:color="auto" w:fill="auto"/>
            <w:vAlign w:val="center"/>
          </w:tcPr>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89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ZH22240620003</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和龙市大气环境高排放重点管控区</w:t>
            </w:r>
          </w:p>
        </w:tc>
        <w:tc>
          <w:tcPr>
            <w:tcW w:w="342"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89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sz w:val="20"/>
                <w:szCs w:val="20"/>
              </w:rPr>
            </w:pPr>
          </w:p>
        </w:tc>
        <w:tc>
          <w:tcPr>
            <w:tcW w:w="390"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3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89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color w:val="FF0000"/>
                <w:sz w:val="20"/>
                <w:szCs w:val="20"/>
              </w:rPr>
            </w:pPr>
          </w:p>
        </w:tc>
        <w:tc>
          <w:tcPr>
            <w:tcW w:w="39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95" w:type="pct"/>
            <w:vMerge w:val="continue"/>
            <w:vAlign w:val="center"/>
          </w:tcPr>
          <w:p>
            <w:pPr>
              <w:widowControl/>
              <w:jc w:val="left"/>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ZH22240620004</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和龙市大气环境布局敏感重点管控区</w:t>
            </w:r>
          </w:p>
        </w:tc>
        <w:tc>
          <w:tcPr>
            <w:tcW w:w="342" w:type="pct"/>
            <w:vMerge w:val="restart"/>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bCs/>
                <w:kern w:val="0"/>
                <w:sz w:val="20"/>
                <w:szCs w:val="20"/>
              </w:rPr>
              <w:t>2-重点管控</w:t>
            </w:r>
          </w:p>
        </w:tc>
        <w:tc>
          <w:tcPr>
            <w:tcW w:w="39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1除在安全或者产业布局等方面有特殊要求的项目外，宜避免大规模排放大气污染物的项目布局建设。</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大气环境布局敏感重点管控区、龙井天宝山铅锌矿重点矿区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89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9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ZH22240620005</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和龙市大气环境弱扩散重点管控区</w:t>
            </w:r>
          </w:p>
        </w:tc>
        <w:tc>
          <w:tcPr>
            <w:tcW w:w="342" w:type="pct"/>
            <w:vMerge w:val="restart"/>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bCs/>
                <w:kern w:val="0"/>
                <w:sz w:val="20"/>
                <w:szCs w:val="20"/>
              </w:rPr>
              <w:t>2-重点管控</w:t>
            </w:r>
          </w:p>
        </w:tc>
        <w:tc>
          <w:tcPr>
            <w:tcW w:w="390"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89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89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89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ZH22240620006</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和龙市建设用地污染风险重点管控区</w:t>
            </w:r>
          </w:p>
        </w:tc>
        <w:tc>
          <w:tcPr>
            <w:tcW w:w="342" w:type="pct"/>
            <w:vMerge w:val="restart"/>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bCs/>
                <w:kern w:val="0"/>
                <w:sz w:val="20"/>
                <w:szCs w:val="20"/>
              </w:rPr>
              <w:t>2-重点管控</w:t>
            </w:r>
          </w:p>
        </w:tc>
        <w:tc>
          <w:tcPr>
            <w:tcW w:w="39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rPr>
              <w:t>空间布局约束</w:t>
            </w:r>
          </w:p>
        </w:tc>
        <w:tc>
          <w:tcPr>
            <w:tcW w:w="2301" w:type="pc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1"/>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5" w:type="pct"/>
            <w:vMerge w:val="restar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建设用地污染风险重点管控区、和龙鸡南-官地铁矿重点矿区</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基于“三线”研究成果提出，结合《污染地块土壤环境管理办法（试行）》《工矿用地土壤环境管理办法（试行）》《吉林省矿产资源总体规划（2021-2025年）》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301"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89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342" w:type="pct"/>
            <w:vMerge w:val="continue"/>
            <w:noWrap/>
            <w:vAlign w:val="center"/>
          </w:tcPr>
          <w:p>
            <w:pPr>
              <w:widowControl/>
              <w:jc w:val="left"/>
              <w:rPr>
                <w:rFonts w:ascii="Times New Roman" w:hAnsi="Times New Roman" w:eastAsia="仿宋" w:cs="Times New Roman"/>
                <w:bCs/>
                <w:kern w:val="0"/>
                <w:sz w:val="20"/>
                <w:szCs w:val="20"/>
              </w:rPr>
            </w:pP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301"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89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ZH22240620007</w:t>
            </w:r>
          </w:p>
        </w:tc>
        <w:tc>
          <w:tcPr>
            <w:tcW w:w="638"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和龙鸡南-官地铁矿重点矿区</w:t>
            </w:r>
          </w:p>
        </w:tc>
        <w:tc>
          <w:tcPr>
            <w:tcW w:w="342" w:type="pct"/>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bCs/>
                <w:kern w:val="0"/>
                <w:sz w:val="20"/>
                <w:szCs w:val="20"/>
              </w:rPr>
              <w:t>2-重点管控</w:t>
            </w:r>
          </w:p>
        </w:tc>
        <w:tc>
          <w:tcPr>
            <w:tcW w:w="390" w:type="pct"/>
            <w:shd w:val="clear" w:color="auto" w:fill="auto"/>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rPr>
              <w:t>空间布局约束</w:t>
            </w:r>
          </w:p>
        </w:tc>
        <w:tc>
          <w:tcPr>
            <w:tcW w:w="2301" w:type="pct"/>
            <w:shd w:val="clear" w:color="auto" w:fill="auto"/>
            <w:vAlign w:val="center"/>
          </w:tcPr>
          <w:p>
            <w:pPr>
              <w:jc w:val="left"/>
              <w:rPr>
                <w:rFonts w:ascii="Times New Roman" w:hAnsi="Times New Roman" w:eastAsia="仿宋" w:cs="Times New Roman"/>
                <w:kern w:val="0"/>
                <w:sz w:val="20"/>
                <w:szCs w:val="20"/>
              </w:rPr>
            </w:pPr>
            <w:r>
              <w:rPr>
                <w:rFonts w:ascii="Times New Roman" w:hAnsi="Times New Roman" w:eastAsia="仿宋" w:cs="Times New Roman"/>
                <w:sz w:val="20"/>
                <w:szCs w:val="21"/>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和龙鸡南-官地铁矿重点矿区</w:t>
            </w:r>
          </w:p>
          <w:p>
            <w:pPr>
              <w:widowControl/>
              <w:jc w:val="left"/>
              <w:rPr>
                <w:rFonts w:ascii="Times New Roman" w:hAnsi="Times New Roman" w:eastAsia="仿宋" w:cs="Times New Roman"/>
                <w:bCs/>
                <w:color w:val="FF0000"/>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ZH22240630001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和龙市一般管控区</w:t>
            </w:r>
          </w:p>
        </w:tc>
        <w:tc>
          <w:tcPr>
            <w:tcW w:w="34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3-一般管控</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301"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89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49" w:name="_Toc27598"/>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十八） 延边朝鲜族自治州汪清县生态环境准入清单</w:t>
      </w:r>
      <w:bookmarkEnd w:id="149"/>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表4-48-1 延边朝鲜族自治州汪清县区域特征研判</w:t>
      </w:r>
    </w:p>
    <w:tbl>
      <w:tblPr>
        <w:tblStyle w:val="19"/>
        <w:tblW w:w="5000" w:type="pct"/>
        <w:tblInd w:w="0" w:type="dxa"/>
        <w:tblLayout w:type="autofit"/>
        <w:tblCellMar>
          <w:top w:w="0" w:type="dxa"/>
          <w:left w:w="108" w:type="dxa"/>
          <w:bottom w:w="0" w:type="dxa"/>
          <w:right w:w="108" w:type="dxa"/>
        </w:tblCellMar>
      </w:tblPr>
      <w:tblGrid>
        <w:gridCol w:w="4755"/>
        <w:gridCol w:w="6842"/>
        <w:gridCol w:w="4942"/>
        <w:gridCol w:w="4608"/>
      </w:tblGrid>
      <w:tr>
        <w:tblPrEx>
          <w:tblCellMar>
            <w:top w:w="0" w:type="dxa"/>
            <w:left w:w="108" w:type="dxa"/>
            <w:bottom w:w="0" w:type="dxa"/>
            <w:right w:w="108" w:type="dxa"/>
          </w:tblCellMar>
        </w:tblPrEx>
        <w:trPr>
          <w:trHeight w:val="257"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61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16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46" w:hRule="atLeast"/>
        </w:trPr>
        <w:tc>
          <w:tcPr>
            <w:tcW w:w="1124"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东与珲春市，西与敦化市，南与图们市、延吉市，北与黑龙江省宁安、穆棱、东宁县接壤。南北纵长108千米，东西横距152千米。汪清县辖8个镇、1个乡。。</w:t>
            </w:r>
          </w:p>
        </w:tc>
        <w:tc>
          <w:tcPr>
            <w:tcW w:w="161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大力实施“项目带动、乡村振兴、民生优先、绿色引领”发展战略，加快项目建设，优化产业结构，推进乡村振兴，践行绿色发展，保障改善民生，全面建设富裕、生态、和谐、幸福汪清，推动经济社会高质量发展。</w:t>
            </w:r>
          </w:p>
        </w:tc>
        <w:tc>
          <w:tcPr>
            <w:tcW w:w="11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水环境污染。</w:t>
            </w:r>
          </w:p>
        </w:tc>
        <w:tc>
          <w:tcPr>
            <w:tcW w:w="108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东北虎豹国家公园、吉林满天星国家森林公园、吉林汪清双龙泉省级森林公园、吉林满天星风景名胜区、汪清县西大坡水库饮用水水源保护区、汪清县明月沟水库饮用水水源保护区、</w:t>
            </w:r>
          </w:p>
          <w:p>
            <w:pPr>
              <w:rPr>
                <w:rFonts w:ascii="Times New Roman" w:hAnsi="Times New Roman" w:eastAsia="仿宋" w:cs="Times New Roman"/>
                <w:bCs/>
                <w:szCs w:val="21"/>
              </w:rPr>
            </w:pPr>
            <w:r>
              <w:rPr>
                <w:rFonts w:ascii="Times New Roman" w:hAnsi="Times New Roman" w:eastAsia="仿宋" w:cs="Times New Roman"/>
                <w:bCs/>
                <w:szCs w:val="21"/>
              </w:rPr>
              <w:t>国家级公益林、水功能区一级区保护区。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w:t>
            </w:r>
            <w:r>
              <w:rPr>
                <w:rFonts w:hint="eastAsia" w:ascii="Times New Roman" w:hAnsi="Times New Roman" w:eastAsia="仿宋" w:cs="Times New Roman"/>
                <w:bCs/>
                <w:szCs w:val="21"/>
              </w:rPr>
              <w:t>改善区域水环境质量</w:t>
            </w:r>
            <w:r>
              <w:rPr>
                <w:rFonts w:ascii="Times New Roman" w:hAnsi="Times New Roman" w:eastAsia="仿宋" w:cs="Times New Roman"/>
                <w:bCs/>
                <w:szCs w:val="21"/>
              </w:rPr>
              <w:t>。</w:t>
            </w:r>
          </w:p>
          <w:p>
            <w:pPr>
              <w:rPr>
                <w:rFonts w:ascii="Times New Roman" w:hAnsi="Times New Roman" w:eastAsia="仿宋" w:cs="Times New Roman"/>
                <w:bCs/>
                <w:szCs w:val="21"/>
              </w:rPr>
            </w:pPr>
            <w:r>
              <w:rPr>
                <w:rFonts w:ascii="Times New Roman" w:hAnsi="Times New Roman" w:eastAsia="仿宋" w:cs="Times New Roman"/>
                <w:bCs/>
                <w:szCs w:val="21"/>
              </w:rPr>
              <w:t>（2）加强林区生态保护与建设，加快森林资源培育。</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表4-48-2 延边朝鲜族自治州汪清县生态环境准入清单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631"/>
        <w:gridCol w:w="1566"/>
        <w:gridCol w:w="1650"/>
        <w:gridCol w:w="9599"/>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22"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370"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90"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69"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15"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ZH22242410001</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东北虎豹国家公园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2生态保护红线内国家公园执行《国家公园管理暂行办法》相关要求。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国家公园、湿地公园、江河源头区域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ZH22242410002</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吉林满天星国家森林公园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3生态保护红线内</w:t>
            </w:r>
            <w:r>
              <w:rPr>
                <w:rFonts w:ascii="Times New Roman" w:hAnsi="Times New Roman" w:eastAsia="仿宋" w:cs="Times New Roman"/>
                <w:bCs/>
                <w:kern w:val="0"/>
                <w:sz w:val="20"/>
                <w:szCs w:val="20"/>
              </w:rPr>
              <w:t>风景名胜区执行《风景名胜区条例》相关要求。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r>
              <w:rPr>
                <w:rFonts w:hint="eastAsia"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ZH22242410003</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吉林汪清双龙泉省级森林公园</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2生态保护红线内森林公园执行《吉林汪清双龙泉省级森林公园总体规划》（2020-2029）相关要求。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ZH22242410004</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吉林满天星风景名胜区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2风景名胜区执行《风景名胜区条例》相关要求。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ZH22242410005</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汪清县西大坡水库饮用水水源保护区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ZH22242410006</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汪清县明月沟水库饮用水水源保护区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ZH22242410007</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汪清县明月沟水库饮用水水源保护区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ZH22242410008</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汪清县国家级公益林</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2国家级公益林执行</w:t>
            </w:r>
            <w:r>
              <w:rPr>
                <w:rFonts w:hint="eastAsia" w:ascii="Times New Roman" w:hAnsi="Times New Roman" w:eastAsia="仿宋" w:cs="Times New Roman"/>
                <w:bCs/>
                <w:kern w:val="0"/>
                <w:sz w:val="20"/>
                <w:szCs w:val="20"/>
              </w:rPr>
              <w:t>《国家级公益林管理办法》（2017年修订）</w:t>
            </w:r>
            <w:r>
              <w:rPr>
                <w:rFonts w:ascii="Times New Roman" w:hAnsi="Times New Roman" w:eastAsia="仿宋" w:cs="Times New Roman"/>
                <w:bCs/>
                <w:kern w:val="0"/>
                <w:sz w:val="20"/>
                <w:szCs w:val="20"/>
              </w:rPr>
              <w:t>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国家级公益林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ZH22242410009</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珲春河水功能区一级区保护区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ZH22242410010</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绥芬河水功能区一级区保护区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ZH22242410011</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汪清县水源涵养功能生态保护红线</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ZH22242410012</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汪清县水源涵养功能重要区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8江河源头区域执行《水功能区监督管理办法》相关要求。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ZH22242410013</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汪清县生物多样性维护功能生态保护红线</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ZH22242410014</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汪清县生物多样性重要区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2禁止生物多样性维护生态功能区的大规模水电开发和林纸一体化产业发展。禁止各种损害栖息地的经济社会活动和生产方式，如无序采矿、毁林开荒、湿地和草地开垦等。</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ZH22242410015</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汪清县防风固沙重要区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ZH22242410016</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汪清县水土保持功能重要区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ZH22242410017</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汪清县水土流失敏感区</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ZH22242410018</w:t>
            </w:r>
          </w:p>
        </w:tc>
        <w:tc>
          <w:tcPr>
            <w:tcW w:w="622"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汪清县其他生态功能生态保护红线</w:t>
            </w:r>
          </w:p>
        </w:tc>
        <w:tc>
          <w:tcPr>
            <w:tcW w:w="370"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15"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其他生态功能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ZH22242420001</w:t>
            </w:r>
          </w:p>
        </w:tc>
        <w:tc>
          <w:tcPr>
            <w:tcW w:w="622"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吉林汪清工业集中区</w:t>
            </w:r>
          </w:p>
        </w:tc>
        <w:tc>
          <w:tcPr>
            <w:tcW w:w="370"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w:t>
            </w:r>
            <w:r>
              <w:rPr>
                <w:rFonts w:hint="eastAsia" w:ascii="Times New Roman" w:hAnsi="Times New Roman" w:eastAsia="仿宋" w:cs="Times New Roman"/>
                <w:bCs/>
                <w:kern w:val="0"/>
                <w:sz w:val="20"/>
                <w:szCs w:val="20"/>
              </w:rPr>
              <w:t>严格落实规划环评及其批复文件环境准入条件</w:t>
            </w:r>
            <w:r>
              <w:rPr>
                <w:rFonts w:ascii="Times New Roman" w:hAnsi="Times New Roman" w:eastAsia="仿宋" w:cs="Times New Roman"/>
                <w:bCs/>
                <w:kern w:val="0"/>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2严格控制高耗水、高污染行业发展。</w:t>
            </w:r>
          </w:p>
        </w:tc>
        <w:tc>
          <w:tcPr>
            <w:tcW w:w="91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木制品加工、生物医药产业、新能源新材料产业、绿色食品加工、大健康产业、现代服务业</w:t>
            </w:r>
          </w:p>
          <w:p>
            <w:pPr>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污染物排放管控</w:t>
            </w:r>
          </w:p>
        </w:tc>
        <w:tc>
          <w:tcPr>
            <w:tcW w:w="2269"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15" w:type="pct"/>
            <w:vMerge w:val="continue"/>
            <w:vAlign w:val="center"/>
          </w:tcPr>
          <w:p>
            <w:pPr>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6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开发区应制定环境风险应急预案，成立应急组织机构，定期开展应急演练，提高区域环境风险防范能力。</w:t>
            </w:r>
          </w:p>
        </w:tc>
        <w:tc>
          <w:tcPr>
            <w:tcW w:w="915"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6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1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ZH22242420002</w:t>
            </w:r>
          </w:p>
        </w:tc>
        <w:tc>
          <w:tcPr>
            <w:tcW w:w="622"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汪清县城镇开发边界</w:t>
            </w:r>
          </w:p>
        </w:tc>
        <w:tc>
          <w:tcPr>
            <w:tcW w:w="370" w:type="pct"/>
            <w:vMerge w:val="restar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tc>
        <w:tc>
          <w:tcPr>
            <w:tcW w:w="91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《关于开展畜禽养殖禁养区划定工作的通知》《畜禽规模养殖污染防治条例》《吉林省减污降碳协同增效实施方案》《中共吉林省委 吉林省人民政府关于深入打好污染防治攻坚战的实施意见》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污染物排放管控</w:t>
            </w:r>
          </w:p>
        </w:tc>
        <w:tc>
          <w:tcPr>
            <w:tcW w:w="2269"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15"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69" w:type="pct"/>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严格管理涉及易导致环境风险的有毒有害和易燃易爆物质的生产、使用、贮运等新建、改扩建项目</w:t>
            </w:r>
            <w:r>
              <w:rPr>
                <w:rFonts w:ascii="Times New Roman" w:hAnsi="Times New Roman" w:eastAsia="仿宋" w:cs="Times New Roman"/>
                <w:bCs/>
                <w:kern w:val="0"/>
                <w:sz w:val="20"/>
                <w:szCs w:val="20"/>
              </w:rPr>
              <w:t>。</w:t>
            </w:r>
          </w:p>
        </w:tc>
        <w:tc>
          <w:tcPr>
            <w:tcW w:w="91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除在安全或者产业布局等方面有特殊要求的项目外，应严格控制新建、扩建采用高污染燃料的项目和设施。</w:t>
            </w:r>
          </w:p>
        </w:tc>
        <w:tc>
          <w:tcPr>
            <w:tcW w:w="91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ZH22242420003</w:t>
            </w:r>
          </w:p>
        </w:tc>
        <w:tc>
          <w:tcPr>
            <w:tcW w:w="622"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汪清县大气环境高排放重点管控区</w:t>
            </w:r>
          </w:p>
        </w:tc>
        <w:tc>
          <w:tcPr>
            <w:tcW w:w="370"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0"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9" w:type="pct"/>
            <w:vAlign w:val="center"/>
          </w:tcPr>
          <w:p>
            <w:pPr>
              <w:jc w:val="left"/>
              <w:rPr>
                <w:rFonts w:ascii="Times New Roman" w:hAnsi="Times New Roman" w:eastAsia="仿宋" w:cs="Times New Roman"/>
                <w:sz w:val="20"/>
                <w:szCs w:val="20"/>
              </w:rPr>
            </w:pPr>
            <w:r>
              <w:rPr>
                <w:rFonts w:ascii="Times New Roman" w:hAnsi="Times New Roman" w:eastAsia="仿宋" w:cs="Times New Roman"/>
                <w:sz w:val="20"/>
                <w:szCs w:val="20"/>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1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污染物排放管控</w:t>
            </w:r>
          </w:p>
        </w:tc>
        <w:tc>
          <w:tcPr>
            <w:tcW w:w="226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1深化工业污染治理，持续推进工业污染源全面达标排放，加大工业污染源烟气高效脱硫脱硝、除尘改造力度。推进重点行业污染治理升级改造。</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1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环境风险防控</w:t>
            </w:r>
          </w:p>
        </w:tc>
        <w:tc>
          <w:tcPr>
            <w:tcW w:w="2269" w:type="pct"/>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tc>
        <w:tc>
          <w:tcPr>
            <w:tcW w:w="915"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ZH22242420004</w:t>
            </w:r>
          </w:p>
        </w:tc>
        <w:tc>
          <w:tcPr>
            <w:tcW w:w="622"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汪清县大气环境弱扩散重点管控区</w:t>
            </w:r>
          </w:p>
        </w:tc>
        <w:tc>
          <w:tcPr>
            <w:tcW w:w="370"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0"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除在安全或者产业布局等方面有特殊要求的项目外，宜避免大规模排放大气污染物的项目布局建设。</w:t>
            </w:r>
          </w:p>
        </w:tc>
        <w:tc>
          <w:tcPr>
            <w:tcW w:w="915"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大气环境弱扩散重点管控区、建设用地污染风险重点管控区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基于“三线”研究成果提出，结合《污染地块土壤环境管理办法（试行）》《工矿用地土壤环境管理办法（试行）》《吉林省生态环境保护“十四五”规划》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污染物排放管控</w:t>
            </w:r>
          </w:p>
        </w:tc>
        <w:tc>
          <w:tcPr>
            <w:tcW w:w="2269"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91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69"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vAlign w:val="center"/>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ZH22242420005</w:t>
            </w:r>
          </w:p>
        </w:tc>
        <w:tc>
          <w:tcPr>
            <w:tcW w:w="622"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汪清县建设用地污染风险重点管控区</w:t>
            </w:r>
          </w:p>
        </w:tc>
        <w:tc>
          <w:tcPr>
            <w:tcW w:w="370" w:type="pct"/>
            <w:vMerge w:val="restar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9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6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15" w:type="pct"/>
            <w:vMerge w:val="restart"/>
            <w:vAlign w:val="center"/>
          </w:tcPr>
          <w:p>
            <w:pPr>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建设用地污染风险重点管控区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《污染地块土壤环境管理办法（试行）》《工矿用地土壤环境管理办法（试行）》《中共吉林省委 吉林省人民政府关于深入打好污染防治攻坚战的实施意见》《吉林省土壤环境质量巩固提升行动方案》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6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15" w:type="pct"/>
            <w:vMerge w:val="continue"/>
            <w:vAlign w:val="center"/>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22"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70"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90"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269"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1落实有色金属冶炼、石油加工、化工、焦化、电镀、制革等土壤污染重点监管企业污染隐患排查整治。</w:t>
            </w:r>
          </w:p>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15" w:type="pct"/>
            <w:vMerge w:val="continue"/>
            <w:vAlign w:val="center"/>
          </w:tcPr>
          <w:p>
            <w:pPr>
              <w:widowControl/>
              <w:jc w:val="left"/>
              <w:rPr>
                <w:rFonts w:ascii="Times New Roman" w:hAnsi="Times New Roman" w:eastAsia="仿宋" w:cs="Times New Roman"/>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ZH22242430001</w:t>
            </w:r>
          </w:p>
        </w:tc>
        <w:tc>
          <w:tcPr>
            <w:tcW w:w="622"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汪清县一般管控区</w:t>
            </w:r>
          </w:p>
        </w:tc>
        <w:tc>
          <w:tcPr>
            <w:tcW w:w="370" w:type="pct"/>
            <w:shd w:val="clear" w:color="auto" w:fill="auto"/>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3-一般管控</w:t>
            </w:r>
          </w:p>
        </w:tc>
        <w:tc>
          <w:tcPr>
            <w:tcW w:w="39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69"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15"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50" w:name="_Toc11643"/>
      <w:r>
        <w:rPr>
          <w:rFonts w:ascii="Times New Roman" w:hAnsi="Times New Roman" w:eastAsia="仿宋" w:cs="Times New Roman"/>
          <w:b/>
          <w:bCs/>
          <w:sz w:val="32"/>
          <w:szCs w:val="32"/>
        </w:rPr>
        <w:t>（</w:t>
      </w:r>
      <w:r>
        <w:rPr>
          <w:rFonts w:hint="eastAsia" w:ascii="Times New Roman" w:hAnsi="Times New Roman" w:eastAsia="仿宋" w:cs="Times New Roman"/>
          <w:b/>
          <w:bCs/>
          <w:sz w:val="32"/>
          <w:szCs w:val="32"/>
        </w:rPr>
        <w:t>五</w:t>
      </w:r>
      <w:r>
        <w:rPr>
          <w:rFonts w:ascii="Times New Roman" w:hAnsi="Times New Roman" w:eastAsia="仿宋" w:cs="Times New Roman"/>
          <w:b/>
          <w:bCs/>
          <w:sz w:val="32"/>
          <w:szCs w:val="32"/>
        </w:rPr>
        <w:t>十九） 延边朝鲜族自治州安图县生态环境准入清单</w:t>
      </w:r>
      <w:bookmarkEnd w:id="150"/>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表4-49-1 延边朝鲜族自治州安图县区域特征研判</w:t>
      </w:r>
    </w:p>
    <w:tbl>
      <w:tblPr>
        <w:tblStyle w:val="19"/>
        <w:tblW w:w="5000" w:type="pct"/>
        <w:tblInd w:w="0" w:type="dxa"/>
        <w:tblLayout w:type="autofit"/>
        <w:tblCellMar>
          <w:top w:w="0" w:type="dxa"/>
          <w:left w:w="108" w:type="dxa"/>
          <w:bottom w:w="0" w:type="dxa"/>
          <w:right w:w="108" w:type="dxa"/>
        </w:tblCellMar>
      </w:tblPr>
      <w:tblGrid>
        <w:gridCol w:w="6139"/>
        <w:gridCol w:w="4718"/>
        <w:gridCol w:w="4430"/>
        <w:gridCol w:w="5860"/>
      </w:tblGrid>
      <w:tr>
        <w:tblPrEx>
          <w:tblCellMar>
            <w:top w:w="0" w:type="dxa"/>
            <w:left w:w="108" w:type="dxa"/>
            <w:bottom w:w="0" w:type="dxa"/>
            <w:right w:w="108" w:type="dxa"/>
          </w:tblCellMar>
        </w:tblPrEx>
        <w:tc>
          <w:tcPr>
            <w:tcW w:w="145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11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04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3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416" w:hRule="atLeast"/>
        </w:trPr>
        <w:tc>
          <w:tcPr>
            <w:tcW w:w="1451"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szCs w:val="21"/>
              </w:rPr>
            </w:pPr>
            <w:r>
              <w:rPr>
                <w:rFonts w:ascii="Times New Roman" w:hAnsi="Times New Roman" w:eastAsia="仿宋" w:cs="Times New Roman"/>
                <w:bCs/>
                <w:szCs w:val="21"/>
              </w:rPr>
              <w:t>3. 位于吉林省东部，延边朝鲜族自治州的西南部，南部与朝鲜民主主义人民共和国接壤，北处“东北亚旅游圈”的中心地带和“东北亚经济合作圈”的腹地，幅员7438平方公里，下辖7个镇、2个乡。</w:t>
            </w:r>
          </w:p>
        </w:tc>
        <w:tc>
          <w:tcPr>
            <w:tcW w:w="111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 长吉图绿色发展示范区；长白山特色产业集聚区；国际化休闲养生旅游度假区；民族团结和谐模范区。</w:t>
            </w:r>
          </w:p>
          <w:p>
            <w:pPr>
              <w:rPr>
                <w:rFonts w:ascii="Times New Roman" w:hAnsi="Times New Roman" w:eastAsia="仿宋" w:cs="Times New Roman"/>
                <w:bCs/>
                <w:szCs w:val="21"/>
              </w:rPr>
            </w:pPr>
            <w:r>
              <w:rPr>
                <w:rFonts w:ascii="Times New Roman" w:hAnsi="Times New Roman" w:eastAsia="仿宋" w:cs="Times New Roman"/>
                <w:bCs/>
                <w:szCs w:val="21"/>
              </w:rPr>
              <w:t>2. 以健康安图建设为引领的绿色转型发展取得新突破，以共享安图建设为导向的民生事业发展达到与全省同步进入小康社会的新水平，以生态安图建设为根基的生态文明发展迈上新台阶，力争各项发展指标达到全省中上游水平。</w:t>
            </w:r>
          </w:p>
        </w:tc>
        <w:tc>
          <w:tcPr>
            <w:tcW w:w="104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szCs w:val="24"/>
                <w:shd w:val="clear" w:color="auto" w:fill="FFFFFF"/>
              </w:rPr>
              <w:t>水环境污染。</w:t>
            </w:r>
          </w:p>
        </w:tc>
        <w:tc>
          <w:tcPr>
            <w:tcW w:w="138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rPr>
                <w:rFonts w:ascii="Times New Roman" w:hAnsi="Times New Roman" w:eastAsia="仿宋" w:cs="Times New Roman"/>
                <w:bCs/>
                <w:szCs w:val="21"/>
              </w:rPr>
            </w:pPr>
            <w:r>
              <w:rPr>
                <w:rFonts w:ascii="Times New Roman" w:hAnsi="Times New Roman" w:eastAsia="仿宋" w:cs="Times New Roman"/>
                <w:bCs/>
                <w:szCs w:val="21"/>
              </w:rPr>
              <w:t>吉林甑峰岭国家级自然保护区、吉林园池湿地国家级自然保护区、吉林海兰江源省级自然保护区、吉林安图明月松茸省级自然保护区、吉林延边仙峰国家森林公园、吉林长白山北坡国家森林公园、吉林安图明月湖省级森林公园、五道水库生活饮用水水源保护区、吉林长白山天然矿泉水安图饮用水水源保护区、安图水库生活饮用水水源保护区、安图县长兴水库集中式饮用水水源保护区、水功能区一级区保护区。</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w:t>
            </w:r>
            <w:r>
              <w:rPr>
                <w:rFonts w:hint="eastAsia" w:ascii="Times New Roman" w:hAnsi="Times New Roman" w:eastAsia="仿宋" w:cs="Times New Roman"/>
                <w:bCs/>
                <w:szCs w:val="21"/>
              </w:rPr>
              <w:t>改善区域水环境质量</w:t>
            </w:r>
            <w:r>
              <w:rPr>
                <w:rFonts w:ascii="Times New Roman" w:hAnsi="Times New Roman" w:eastAsia="仿宋" w:cs="Times New Roman"/>
                <w:bCs/>
                <w:szCs w:val="21"/>
              </w:rPr>
              <w:t>。</w:t>
            </w:r>
          </w:p>
          <w:p>
            <w:pPr>
              <w:rPr>
                <w:rFonts w:ascii="Times New Roman" w:hAnsi="Times New Roman" w:eastAsia="仿宋" w:cs="Times New Roman"/>
                <w:bCs/>
                <w:szCs w:val="21"/>
              </w:rPr>
            </w:pPr>
            <w:r>
              <w:rPr>
                <w:rFonts w:ascii="Times New Roman" w:hAnsi="Times New Roman" w:eastAsia="仿宋" w:cs="Times New Roman"/>
                <w:bCs/>
                <w:szCs w:val="21"/>
              </w:rPr>
              <w:t>（3）加强林区生态保护与建设，加快森林资源培育。</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表4-49-2 延边朝鲜族自治州安图县生态环境准入清单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699"/>
        <w:gridCol w:w="1718"/>
        <w:gridCol w:w="1565"/>
        <w:gridCol w:w="9320"/>
        <w:gridCol w:w="4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31"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环境管控单元编码</w:t>
            </w:r>
          </w:p>
        </w:tc>
        <w:tc>
          <w:tcPr>
            <w:tcW w:w="638"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环境管控单元名称</w:t>
            </w:r>
          </w:p>
        </w:tc>
        <w:tc>
          <w:tcPr>
            <w:tcW w:w="406" w:type="pct"/>
            <w:noWrap/>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管控单元分类</w:t>
            </w:r>
          </w:p>
        </w:tc>
        <w:tc>
          <w:tcPr>
            <w:tcW w:w="370"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管控类型</w:t>
            </w:r>
          </w:p>
        </w:tc>
        <w:tc>
          <w:tcPr>
            <w:tcW w:w="2203"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管控要求</w:t>
            </w:r>
          </w:p>
        </w:tc>
        <w:tc>
          <w:tcPr>
            <w:tcW w:w="950" w:type="pct"/>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吉林甑峰岭国家级自然保护区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吉林园池湿地国家级自然保护区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4生态保护红线内江河源头区域执行《水功能区监督管理办法》相关要求。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ZH22242610003</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吉林海兰江源省级自然保护区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ZH22242610004</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吉林明月松茸省级自然保护区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2生态保护红线内自然保护区执行《中华人民共和国自然保护区条例》相关要求。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生态保护红线、大气环境优先保护区、水环境优先保护区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自然保护区、饮用水水源保护区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ZH22242610005</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吉林延边仙峰国家森林公园</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ZH22242610006</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吉林长白山北坡国家森林公园</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2生态保护红线内国家级森林公园执行《国家级自然公园管理办法（试行）》相关要求。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ZH22242610007</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吉林安图明月湖省级森林公园</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ZH22242610008</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五道水库生活饮用水水源保护区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ZH22242610009</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吉林长白山天然矿泉水安图饮用水水源保护区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ZH22242610010</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安图水库生活饮用水水源保护区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安图县长兴水库集中式饮用水水源保护区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五道白河水功能区一级区保护区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ZH22242610013</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布尔哈通河水功能区一级区保护区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ZH22242610014</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安图县水源涵养功能生态保护红线</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ZH22242610015</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图们江水源涵养与生物多样性维护功能生态保护红线</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水源涵养、生物多样性、饮用水水源保护区、江河源头区域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ZH22242610016</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安图县松花江水源涵养与生物多样性维护功能生态保护红线</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3生态保护红线内江河源头区域执行《水功能区监督管理办法》相关要求。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水源涵养、生物多样性、饮用水水源保护区、江河源头区域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ZH22242610017</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安图县水源涵养功能重要区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2禁止各种损害生态系统水源涵养功能的经济社会活动和生产方式，如无序采矿、毁林开荒、湿地和草地开垦、过度放牧等。禁止导致水体污染的产业发展。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7江河源头区域执行《水功能区监督管理办法》相关要求。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水源涵养、防风固沙、生物多样性、水土保持、水土流失、江河源头区域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ZH22242610018</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安图县生物多样性重要区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6江河源头区域执行《水功能区监督管理办法》相关要求。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w:t>
            </w:r>
            <w:r>
              <w:rPr>
                <w:rFonts w:hint="eastAsia" w:ascii="Times New Roman" w:hAnsi="Times New Roman" w:eastAsia="仿宋" w:cs="Times New Roman"/>
                <w:bCs/>
                <w:kern w:val="0"/>
                <w:sz w:val="20"/>
                <w:szCs w:val="20"/>
              </w:rPr>
              <w:t>19</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安图县防风固沙功能生态保护红线</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防风固沙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w:t>
            </w:r>
            <w:r>
              <w:rPr>
                <w:rFonts w:hint="eastAsia" w:ascii="Times New Roman" w:hAnsi="Times New Roman" w:eastAsia="仿宋" w:cs="Times New Roman"/>
                <w:bCs/>
                <w:kern w:val="0"/>
                <w:sz w:val="20"/>
                <w:szCs w:val="20"/>
              </w:rPr>
              <w:t>20</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安图县水土保持功能生态保护红线</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原则上按禁止开发区域的要求进行管理，执行</w:t>
            </w:r>
            <w:r>
              <w:rPr>
                <w:rFonts w:hint="eastAsia" w:ascii="Times New Roman" w:hAnsi="Times New Roman" w:eastAsia="仿宋" w:cs="Times New Roman"/>
                <w:bCs/>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bCs/>
                <w:kern w:val="0"/>
                <w:sz w:val="20"/>
                <w:szCs w:val="20"/>
              </w:rPr>
              <w:t>中相关要求。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生态保护红线</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w:t>
            </w:r>
            <w:r>
              <w:rPr>
                <w:rFonts w:hint="eastAsia" w:ascii="Times New Roman" w:hAnsi="Times New Roman" w:eastAsia="仿宋" w:cs="Times New Roman"/>
                <w:bCs/>
                <w:kern w:val="0"/>
                <w:sz w:val="20"/>
                <w:szCs w:val="20"/>
              </w:rPr>
              <w:t>21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安图县水土保持功能重要区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ZH222426100</w:t>
            </w:r>
            <w:r>
              <w:rPr>
                <w:rFonts w:hint="eastAsia" w:ascii="Times New Roman" w:hAnsi="Times New Roman" w:eastAsia="仿宋" w:cs="Times New Roman"/>
                <w:bCs/>
                <w:kern w:val="0"/>
                <w:sz w:val="20"/>
                <w:szCs w:val="20"/>
              </w:rPr>
              <w:t>22</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安图县水土流失敏感区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1-优先保护</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5江河源头区域执行《水功能区监督管理办法》相关要求。</w:t>
            </w:r>
          </w:p>
        </w:tc>
        <w:tc>
          <w:tcPr>
            <w:tcW w:w="950" w:type="pct"/>
            <w:vAlign w:val="center"/>
          </w:tcPr>
          <w:p>
            <w:pPr>
              <w:widowControl/>
              <w:jc w:val="left"/>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一般生态空间、水环境优先保护区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保护对象：</w:t>
            </w:r>
            <w:r>
              <w:rPr>
                <w:rFonts w:ascii="Times New Roman" w:hAnsi="Times New Roman" w:eastAsia="仿宋" w:cs="Times New Roman"/>
                <w:bCs/>
                <w:kern w:val="0"/>
                <w:sz w:val="20"/>
                <w:szCs w:val="20"/>
              </w:rPr>
              <w:t>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ZH22242620001</w:t>
            </w:r>
          </w:p>
        </w:tc>
        <w:tc>
          <w:tcPr>
            <w:tcW w:w="638"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吉林安图经济开发区</w:t>
            </w:r>
          </w:p>
        </w:tc>
        <w:tc>
          <w:tcPr>
            <w:tcW w:w="40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1严格控制高耗水、高污染行业发展。</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猪、牛、羊、禽手工屠宰项目、小型湿法玉米淀粉生产项目进入园区食品加工区。禁止电镀、化工、制浆造纸、皮革建设项目进入中小企业孵化区。禁止利用大蒸锅、小煮锅进行人参成分提取的小作坊生产企业；涉及糖水煮制人参、硫磺熏蒸人参工艺的生产企业进入医药加工区。</w:t>
            </w:r>
          </w:p>
        </w:tc>
        <w:tc>
          <w:tcPr>
            <w:tcW w:w="95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大气环境高排放重点管控区、水环境工业污染重点管控区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功能定位：</w:t>
            </w:r>
            <w:r>
              <w:rPr>
                <w:rFonts w:ascii="Times New Roman" w:hAnsi="Times New Roman" w:eastAsia="仿宋" w:cs="Times New Roman"/>
                <w:bCs/>
                <w:kern w:val="0"/>
                <w:sz w:val="20"/>
                <w:szCs w:val="20"/>
              </w:rPr>
              <w:t>是服务安图产业发展的重要平台，也是安图县打造特色产业、实现产业发展集聚的重要载体之一。</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主导产业：</w:t>
            </w:r>
            <w:r>
              <w:rPr>
                <w:rFonts w:ascii="Times New Roman" w:hAnsi="Times New Roman" w:eastAsia="仿宋" w:cs="Times New Roman"/>
                <w:bCs/>
                <w:kern w:val="0"/>
                <w:sz w:val="20"/>
                <w:szCs w:val="20"/>
              </w:rPr>
              <w:t>主导产业以药材和医药加工、绿色食品加工、林产加工、木制品加工。</w:t>
            </w:r>
          </w:p>
          <w:p>
            <w:pPr>
              <w:widowControl/>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污染物排放管控</w:t>
            </w:r>
          </w:p>
        </w:tc>
        <w:tc>
          <w:tcPr>
            <w:tcW w:w="2203"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3一体推进重点行业大气污染深度治理与节能降碳，推动重点行业、重点领域氮氧化物减排，探索开展大气污染物与温室气体排放协同控制改造提升工程试点。</w:t>
            </w:r>
          </w:p>
        </w:tc>
        <w:tc>
          <w:tcPr>
            <w:tcW w:w="950" w:type="pct"/>
            <w:vMerge w:val="continue"/>
            <w:vAlign w:val="center"/>
          </w:tcPr>
          <w:p>
            <w:pPr>
              <w:widowControl/>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开发区应制定环境风险应急预案，成立应急组织机构，定期开展应急演练，提高区域环境风险防范能力。</w:t>
            </w:r>
          </w:p>
        </w:tc>
        <w:tc>
          <w:tcPr>
            <w:tcW w:w="950" w:type="pct"/>
            <w:vMerge w:val="continue"/>
            <w:vAlign w:val="center"/>
          </w:tcPr>
          <w:p>
            <w:pPr>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资源开发效率</w:t>
            </w:r>
          </w:p>
        </w:tc>
        <w:tc>
          <w:tcPr>
            <w:tcW w:w="220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1在重点行业推广实施节水改造和污水深度处理。鼓励高耗水企业废水深度处理回用。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2推广园区集中供热，园区新建供热设施须执行排放浓度限值。</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3完成吉林省下达的产能置换要求。各产业执行对应的清洁生产标准。</w:t>
            </w:r>
          </w:p>
        </w:tc>
        <w:tc>
          <w:tcPr>
            <w:tcW w:w="950"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ZH22242620002</w:t>
            </w:r>
          </w:p>
        </w:tc>
        <w:tc>
          <w:tcPr>
            <w:tcW w:w="638"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安图县城镇开发边界</w:t>
            </w:r>
          </w:p>
        </w:tc>
        <w:tc>
          <w:tcPr>
            <w:tcW w:w="40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1城镇居民区、文化教育科学研究区等人口集中区域禁止畜禽养殖场、养殖小区等涉及氨排放的生产生活活动。</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2除在安全或者产业布局等方面有特殊要求的项目外，原则上应避免大规模排放大气污染物的项目布局建设。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3除在安全或者产业布局等方面有特殊要求的项目外，应避免大规模排放水污染物的项目布局建设。</w:t>
            </w:r>
          </w:p>
        </w:tc>
        <w:tc>
          <w:tcPr>
            <w:tcW w:w="95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大气环境受体敏感重点管控区、水环境城镇生活污染重点管控区、抚松-二道白河矿泉水重点矿区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sz w:val="20"/>
                <w:szCs w:val="20"/>
              </w:rPr>
              <w:t>《关于开展畜禽养殖禁养区划定工作的通知》《畜禽规模养殖污染防治条例》《吉林省减污降碳协同增效实施方案》《中共吉林省委 吉林省人民政府关于深入打好污染防治攻坚战的实施意见》《长白山区域矿泉水资源保护与开发利用规划（2021-2025年）》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污染物排放管控</w:t>
            </w:r>
          </w:p>
        </w:tc>
        <w:tc>
          <w:tcPr>
            <w:tcW w:w="2203" w:type="pct"/>
            <w:vAlign w:val="center"/>
          </w:tcPr>
          <w:p>
            <w:pPr>
              <w:widowControl/>
              <w:rPr>
                <w:rFonts w:ascii="Times New Roman" w:hAnsi="Times New Roman" w:eastAsia="仿宋" w:cs="Times New Roman"/>
                <w:bCs/>
                <w:kern w:val="0"/>
                <w:sz w:val="20"/>
                <w:szCs w:val="20"/>
              </w:rPr>
            </w:pPr>
            <w:r>
              <w:rPr>
                <w:rFonts w:ascii="Times New Roman" w:hAnsi="Times New Roman" w:eastAsia="仿宋" w:cs="Times New Roman"/>
                <w:kern w:val="0"/>
                <w:sz w:val="20"/>
                <w:szCs w:val="20"/>
              </w:rPr>
              <w:t>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tc>
        <w:tc>
          <w:tcPr>
            <w:tcW w:w="950" w:type="pct"/>
            <w:vMerge w:val="continue"/>
            <w:vAlign w:val="center"/>
          </w:tcPr>
          <w:p>
            <w:pPr>
              <w:widowControl/>
              <w:rPr>
                <w:rFonts w:ascii="Times New Roman" w:hAnsi="Times New Roman" w:eastAsia="仿宋" w:cs="Times New Roman"/>
                <w:b/>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406" w:type="pct"/>
            <w:vMerge w:val="continue"/>
            <w:noWrap/>
            <w:vAlign w:val="center"/>
          </w:tcPr>
          <w:p>
            <w:pPr>
              <w:widowControl/>
              <w:jc w:val="left"/>
              <w:rPr>
                <w:rFonts w:ascii="Times New Roman" w:hAnsi="Times New Roman" w:eastAsia="仿宋" w:cs="Times New Roman"/>
                <w:color w:val="FF0000"/>
                <w:sz w:val="20"/>
                <w:szCs w:val="20"/>
              </w:rPr>
            </w:pPr>
          </w:p>
        </w:tc>
        <w:tc>
          <w:tcPr>
            <w:tcW w:w="37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3" w:type="pct"/>
            <w:shd w:val="clear" w:color="auto" w:fill="auto"/>
            <w:vAlign w:val="center"/>
          </w:tcPr>
          <w:p>
            <w:pPr>
              <w:widowControl/>
              <w:jc w:val="left"/>
              <w:rPr>
                <w:rFonts w:ascii="Times New Roman" w:hAnsi="Times New Roman" w:eastAsia="仿宋" w:cs="Times New Roman"/>
                <w:bCs/>
                <w:kern w:val="0"/>
                <w:sz w:val="20"/>
                <w:szCs w:val="20"/>
              </w:rPr>
            </w:pPr>
            <w:r>
              <w:rPr>
                <w:rFonts w:hint="eastAsia" w:ascii="Times New Roman" w:hAnsi="Times New Roman" w:eastAsia="仿宋" w:cs="Times New Roman"/>
                <w:bCs/>
                <w:kern w:val="0"/>
                <w:sz w:val="20"/>
                <w:szCs w:val="20"/>
              </w:rPr>
              <w:t>严格管理涉及易导致环境风险的有毒有害和易燃易爆物质的生产、使用、贮运等新建、改扩建项目</w:t>
            </w:r>
            <w:r>
              <w:rPr>
                <w:rFonts w:ascii="Times New Roman" w:hAnsi="Times New Roman" w:eastAsia="仿宋" w:cs="Times New Roman"/>
                <w:bCs/>
                <w:kern w:val="0"/>
                <w:sz w:val="20"/>
                <w:szCs w:val="20"/>
              </w:rPr>
              <w:t>。</w:t>
            </w:r>
          </w:p>
        </w:tc>
        <w:tc>
          <w:tcPr>
            <w:tcW w:w="950"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color w:val="FF0000"/>
                <w:sz w:val="20"/>
                <w:szCs w:val="20"/>
              </w:rPr>
            </w:pPr>
          </w:p>
        </w:tc>
        <w:tc>
          <w:tcPr>
            <w:tcW w:w="638" w:type="pct"/>
            <w:vMerge w:val="continue"/>
            <w:noWrap/>
            <w:vAlign w:val="center"/>
          </w:tcPr>
          <w:p>
            <w:pPr>
              <w:widowControl/>
              <w:jc w:val="left"/>
              <w:rPr>
                <w:rFonts w:ascii="Times New Roman" w:hAnsi="Times New Roman" w:eastAsia="仿宋" w:cs="Times New Roman"/>
                <w:color w:val="FF0000"/>
                <w:sz w:val="20"/>
                <w:szCs w:val="20"/>
              </w:rPr>
            </w:pPr>
          </w:p>
        </w:tc>
        <w:tc>
          <w:tcPr>
            <w:tcW w:w="406" w:type="pct"/>
            <w:vMerge w:val="continue"/>
            <w:noWrap/>
            <w:vAlign w:val="center"/>
          </w:tcPr>
          <w:p>
            <w:pPr>
              <w:widowControl/>
              <w:jc w:val="left"/>
              <w:rPr>
                <w:rFonts w:ascii="Times New Roman" w:hAnsi="Times New Roman" w:eastAsia="仿宋" w:cs="Times New Roman"/>
                <w:color w:val="FF0000"/>
                <w:sz w:val="20"/>
                <w:szCs w:val="20"/>
              </w:rPr>
            </w:pPr>
          </w:p>
        </w:tc>
        <w:tc>
          <w:tcPr>
            <w:tcW w:w="37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资源开发效率</w:t>
            </w:r>
          </w:p>
        </w:tc>
        <w:tc>
          <w:tcPr>
            <w:tcW w:w="220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除在安全或者产业布局等方面有特殊要求的项目外，应严格控制新建、扩建采用高污染燃料的项目和设施。</w:t>
            </w:r>
          </w:p>
        </w:tc>
        <w:tc>
          <w:tcPr>
            <w:tcW w:w="950" w:type="pct"/>
            <w:vMerge w:val="continue"/>
            <w:vAlign w:val="center"/>
          </w:tcPr>
          <w:p>
            <w:pPr>
              <w:widowControl/>
              <w:jc w:val="left"/>
              <w:rPr>
                <w:rFonts w:ascii="Times New Roman" w:hAnsi="Times New Roman" w:eastAsia="仿宋" w:cs="Times New Roman"/>
                <w:bCs/>
                <w:color w:val="FF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ZH22242620003</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安图县大气环境布局敏感重点管控区</w:t>
            </w:r>
          </w:p>
        </w:tc>
        <w:tc>
          <w:tcPr>
            <w:tcW w:w="406" w:type="pct"/>
            <w:vMerge w:val="restar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2-重点管控</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1除在安全或者产业布局等方面有特殊要求的项目外，宜避免大规模排放大气污染物的项目布局建设。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50" w:type="pct"/>
            <w:vMerge w:val="restar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大气环境布局敏感重点管控区、建设用地污染风险重点管控区、龙井天宝山铅锌矿重点矿区</w:t>
            </w:r>
          </w:p>
          <w:p>
            <w:pPr>
              <w:widowControl/>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kern w:val="0"/>
                <w:sz w:val="20"/>
                <w:szCs w:val="20"/>
              </w:rPr>
              <w:t>基于“三线”研究成果提出，《污染地块土壤环境管理办法（试行）》《工矿用地土壤环境管理办法（试行）》。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1推进分散的工业锅炉达标改造，提升脱硫效率。</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2深入推进秸秆禁烧管控，实行秸秆全域禁烧。加快淘汰老旧车辆；强化道路扬尘控制。</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3实施化肥农药减量增效行动和农膜回收行动；采取积极措施，推进养殖业大气氨减排。</w:t>
            </w:r>
          </w:p>
        </w:tc>
        <w:tc>
          <w:tcPr>
            <w:tcW w:w="950" w:type="pct"/>
            <w:vMerge w:val="continue"/>
            <w:vAlign w:val="center"/>
          </w:tcPr>
          <w:p>
            <w:pPr>
              <w:widowControl/>
              <w:jc w:val="left"/>
              <w:rPr>
                <w:rFonts w:ascii="Times New Roman" w:hAnsi="Times New Roman" w:eastAsia="仿宋" w:cs="Times New Roman"/>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vAlign w:val="center"/>
          </w:tcPr>
          <w:p>
            <w:pPr>
              <w:widowControl/>
              <w:jc w:val="left"/>
              <w:rPr>
                <w:rFonts w:ascii="Times New Roman" w:hAnsi="Times New Roman" w:eastAsia="仿宋" w:cs="Times New Roman"/>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ZH22242620004</w:t>
            </w:r>
          </w:p>
        </w:tc>
        <w:tc>
          <w:tcPr>
            <w:tcW w:w="638"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安图县建设用地污染风险重点管控区</w:t>
            </w:r>
          </w:p>
        </w:tc>
        <w:tc>
          <w:tcPr>
            <w:tcW w:w="406" w:type="pct"/>
            <w:vMerge w:val="restar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7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20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对建设用地污染风险管控和修复名录内地块严格准入管理。原则上禁止曾用于生产、使用、贮存、回收、处置有毒有害物质的工矿用地复垦为种植食用农产品的耕地。从严管控农药、化工等行业重度污染地块规划用途，确需开发利用的，鼓励用于拓展生态空间。</w:t>
            </w:r>
          </w:p>
        </w:tc>
        <w:tc>
          <w:tcPr>
            <w:tcW w:w="950" w:type="pct"/>
            <w:vMerge w:val="restar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bCs/>
                <w:kern w:val="0"/>
                <w:sz w:val="20"/>
                <w:szCs w:val="20"/>
              </w:rPr>
              <w:t>建设用地污染风险重点管控区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bCs/>
                <w:kern w:val="0"/>
                <w:sz w:val="20"/>
                <w:szCs w:val="20"/>
              </w:rPr>
              <w:t>《中共中央 国务院关于深入打好污染防治攻坚战的意见》《污染地块土壤环境管理办法（试行）》《工矿用地土壤环境管理办法（试行）》《吉林省土壤环境质量巩固提升行动方案》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50" w:type="pct"/>
            <w:vMerge w:val="continue"/>
            <w:vAlign w:val="center"/>
          </w:tcPr>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noWrap/>
            <w:vAlign w:val="center"/>
          </w:tcPr>
          <w:p>
            <w:pPr>
              <w:widowControl/>
              <w:jc w:val="left"/>
              <w:rPr>
                <w:rFonts w:ascii="Times New Roman" w:hAnsi="Times New Roman" w:eastAsia="仿宋" w:cs="Times New Roman"/>
                <w:sz w:val="20"/>
                <w:szCs w:val="20"/>
              </w:rPr>
            </w:pPr>
          </w:p>
        </w:tc>
        <w:tc>
          <w:tcPr>
            <w:tcW w:w="638" w:type="pct"/>
            <w:vMerge w:val="continue"/>
            <w:noWrap/>
            <w:vAlign w:val="center"/>
          </w:tcPr>
          <w:p>
            <w:pPr>
              <w:widowControl/>
              <w:jc w:val="left"/>
              <w:rPr>
                <w:rFonts w:ascii="Times New Roman" w:hAnsi="Times New Roman" w:eastAsia="仿宋" w:cs="Times New Roman"/>
                <w:sz w:val="20"/>
                <w:szCs w:val="20"/>
              </w:rPr>
            </w:pPr>
          </w:p>
        </w:tc>
        <w:tc>
          <w:tcPr>
            <w:tcW w:w="406" w:type="pct"/>
            <w:vMerge w:val="continue"/>
            <w:noWrap/>
            <w:vAlign w:val="center"/>
          </w:tcPr>
          <w:p>
            <w:pPr>
              <w:widowControl/>
              <w:jc w:val="left"/>
              <w:rPr>
                <w:rFonts w:ascii="Times New Roman" w:hAnsi="Times New Roman" w:eastAsia="仿宋" w:cs="Times New Roman"/>
                <w:sz w:val="20"/>
                <w:szCs w:val="20"/>
              </w:rPr>
            </w:pP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50" w:type="pct"/>
            <w:vMerge w:val="continue"/>
            <w:vAlign w:val="center"/>
          </w:tcPr>
          <w:p>
            <w:pPr>
              <w:widowControl/>
              <w:jc w:val="left"/>
              <w:rPr>
                <w:rFonts w:ascii="Times New Roman" w:hAnsi="Times New Roman" w:eastAsia="仿宋" w:cs="Times New Roman"/>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ZH22242620005</w:t>
            </w:r>
          </w:p>
        </w:tc>
        <w:tc>
          <w:tcPr>
            <w:tcW w:w="638"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抚松-二道白河矿泉水重点矿区</w:t>
            </w:r>
          </w:p>
        </w:tc>
        <w:tc>
          <w:tcPr>
            <w:tcW w:w="406" w:type="pct"/>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2-重点管控</w:t>
            </w:r>
          </w:p>
        </w:tc>
        <w:tc>
          <w:tcPr>
            <w:tcW w:w="37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空间布局约束</w:t>
            </w:r>
          </w:p>
        </w:tc>
        <w:tc>
          <w:tcPr>
            <w:tcW w:w="2203"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禁止开采未经自然涌出的矿泉水资源，禁止用经鉴定的矿泉水水源生产纯净水等非矿泉瓶装饮用水，对日天然流量5000吨以上的普通矿泉水资源单泉或泉群，开采量已达70％以上的，限制扩大开发规模，留足生态基流。限制开采日天然流量低于1100吨的普通矿泉水资源，对日天然流量1100－5000吨的普通矿泉水资源单泉或泉群，开采量已达50％－70％的，限制扩大开发规模；对日天然流量40吨以上的稀有类型天然矿泉水资源单泉或泉群，开采量已达70％的，控制扩大开发规模。</w:t>
            </w:r>
          </w:p>
        </w:tc>
        <w:tc>
          <w:tcPr>
            <w:tcW w:w="950" w:type="pct"/>
            <w:vAlign w:val="center"/>
          </w:tcPr>
          <w:p>
            <w:pPr>
              <w:widowControl/>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sz w:val="20"/>
                <w:szCs w:val="20"/>
              </w:rPr>
              <w:t>抚松-二道白河矿泉水重点矿区</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
                <w:kern w:val="0"/>
                <w:sz w:val="20"/>
                <w:szCs w:val="20"/>
              </w:rPr>
              <w:t>依据：</w:t>
            </w:r>
            <w:r>
              <w:rPr>
                <w:rFonts w:ascii="Times New Roman" w:hAnsi="Times New Roman" w:eastAsia="仿宋" w:cs="Times New Roman"/>
                <w:kern w:val="0"/>
                <w:sz w:val="20"/>
                <w:szCs w:val="20"/>
              </w:rPr>
              <w:t>《长白山区域矿泉水资源保护与开发利用规划（2021-2025年）》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ZH22242630001</w:t>
            </w:r>
          </w:p>
        </w:tc>
        <w:tc>
          <w:tcPr>
            <w:tcW w:w="638"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安图县一般管控区</w:t>
            </w:r>
          </w:p>
        </w:tc>
        <w:tc>
          <w:tcPr>
            <w:tcW w:w="406" w:type="pct"/>
            <w:noWrap/>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3-一般管控</w:t>
            </w:r>
          </w:p>
        </w:tc>
        <w:tc>
          <w:tcPr>
            <w:tcW w:w="370"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污染物排放管控</w:t>
            </w:r>
          </w:p>
        </w:tc>
        <w:tc>
          <w:tcPr>
            <w:tcW w:w="2203"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50" w:type="pct"/>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
                <w:bCs/>
                <w:sz w:val="20"/>
                <w:szCs w:val="20"/>
              </w:rPr>
              <w:t>依据：</w:t>
            </w:r>
            <w:r>
              <w:rPr>
                <w:rFonts w:ascii="Times New Roman" w:hAnsi="Times New Roman" w:eastAsia="仿宋" w:cs="Times New Roman"/>
                <w:kern w:val="0"/>
                <w:sz w:val="20"/>
                <w:szCs w:val="20"/>
              </w:rPr>
              <w:t>基于“三线”研究成果提出。</w:t>
            </w: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51" w:name="_Toc2692"/>
      <w:r>
        <w:rPr>
          <w:rFonts w:ascii="Times New Roman" w:hAnsi="Times New Roman" w:eastAsia="仿宋" w:cs="Times New Roman"/>
          <w:b/>
          <w:bCs/>
          <w:sz w:val="32"/>
          <w:szCs w:val="32"/>
        </w:rPr>
        <w:t>（六十）长白山保护开发区生态环境准入清单</w:t>
      </w:r>
      <w:bookmarkEnd w:id="151"/>
    </w:p>
    <w:p>
      <w:pPr>
        <w:jc w:val="center"/>
        <w:rPr>
          <w:rFonts w:ascii="Times New Roman" w:hAnsi="Times New Roman" w:eastAsia="仿宋" w:cs="Times New Roman"/>
          <w:b/>
          <w:kern w:val="0"/>
          <w:sz w:val="24"/>
          <w:szCs w:val="24"/>
        </w:rPr>
      </w:pPr>
      <w:bookmarkStart w:id="152" w:name="_Toc27987246"/>
      <w:r>
        <w:rPr>
          <w:rFonts w:ascii="Times New Roman" w:hAnsi="Times New Roman" w:eastAsia="仿宋" w:cs="Times New Roman"/>
          <w:b/>
          <w:kern w:val="0"/>
          <w:sz w:val="24"/>
          <w:szCs w:val="24"/>
        </w:rPr>
        <w:t>表4-61-1 长白山保护开发区区域特征研判</w:t>
      </w:r>
      <w:bookmarkEnd w:id="152"/>
    </w:p>
    <w:tbl>
      <w:tblPr>
        <w:tblStyle w:val="19"/>
        <w:tblW w:w="5000" w:type="pct"/>
        <w:tblInd w:w="0" w:type="dxa"/>
        <w:tblLayout w:type="autofit"/>
        <w:tblCellMar>
          <w:top w:w="0" w:type="dxa"/>
          <w:left w:w="108" w:type="dxa"/>
          <w:bottom w:w="0" w:type="dxa"/>
          <w:right w:w="108" w:type="dxa"/>
        </w:tblCellMar>
      </w:tblPr>
      <w:tblGrid>
        <w:gridCol w:w="4754"/>
        <w:gridCol w:w="7420"/>
        <w:gridCol w:w="4366"/>
        <w:gridCol w:w="4607"/>
      </w:tblGrid>
      <w:tr>
        <w:tblPrEx>
          <w:tblCellMar>
            <w:top w:w="0" w:type="dxa"/>
            <w:left w:w="108" w:type="dxa"/>
            <w:bottom w:w="0" w:type="dxa"/>
            <w:right w:w="108" w:type="dxa"/>
          </w:tblCellMar>
        </w:tblPrEx>
        <w:trPr>
          <w:trHeight w:val="262" w:hRule="atLeast"/>
        </w:trPr>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区位特点</w:t>
            </w:r>
          </w:p>
        </w:tc>
        <w:tc>
          <w:tcPr>
            <w:tcW w:w="175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发展定位与目标</w:t>
            </w:r>
          </w:p>
        </w:tc>
        <w:tc>
          <w:tcPr>
            <w:tcW w:w="103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区域突出的生态环境问题</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szCs w:val="21"/>
              </w:rPr>
            </w:pPr>
            <w:r>
              <w:rPr>
                <w:rFonts w:ascii="Times New Roman" w:hAnsi="Times New Roman" w:eastAsia="仿宋" w:cs="Times New Roman"/>
                <w:b/>
                <w:szCs w:val="21"/>
              </w:rPr>
              <w:t>管控目标</w:t>
            </w:r>
          </w:p>
        </w:tc>
      </w:tr>
      <w:tr>
        <w:tblPrEx>
          <w:tblCellMar>
            <w:top w:w="0" w:type="dxa"/>
            <w:left w:w="108" w:type="dxa"/>
            <w:bottom w:w="0" w:type="dxa"/>
            <w:right w:w="108" w:type="dxa"/>
          </w:tblCellMar>
        </w:tblPrEx>
        <w:trPr>
          <w:trHeight w:val="354" w:hRule="atLeast"/>
        </w:trPr>
        <w:tc>
          <w:tcPr>
            <w:tcW w:w="47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1.《吉林省主体功能区规划》中的国家级重点生态功能区，长白山管委会辖区的池北区属安图县主体功能区，池南区及池西区属抚松县主体功能区。</w:t>
            </w:r>
          </w:p>
          <w:p>
            <w:pPr>
              <w:rPr>
                <w:rFonts w:ascii="Times New Roman" w:hAnsi="Times New Roman" w:eastAsia="仿宋" w:cs="Times New Roman"/>
                <w:bCs/>
                <w:szCs w:val="21"/>
              </w:rPr>
            </w:pPr>
            <w:r>
              <w:rPr>
                <w:rFonts w:ascii="Times New Roman" w:hAnsi="Times New Roman" w:eastAsia="仿宋" w:cs="Times New Roman"/>
                <w:bCs/>
                <w:szCs w:val="21"/>
              </w:rPr>
              <w:t>2.位于长白山森林生态功能区，属于国家级水源涵养型重点生态功能区。</w:t>
            </w:r>
          </w:p>
          <w:p>
            <w:pPr>
              <w:rPr>
                <w:rFonts w:ascii="Times New Roman" w:hAnsi="Times New Roman" w:eastAsia="仿宋" w:cs="Times New Roman"/>
                <w:color w:val="FF0000"/>
                <w:szCs w:val="21"/>
              </w:rPr>
            </w:pPr>
            <w:r>
              <w:rPr>
                <w:rFonts w:ascii="Times New Roman" w:hAnsi="Times New Roman" w:eastAsia="仿宋" w:cs="Times New Roman"/>
                <w:bCs/>
                <w:szCs w:val="21"/>
              </w:rPr>
              <w:t>3. 位于吉林省东南部，行政区域地跨延边朝鲜族自治州的安图县、白山市的抚松县、长白朝鲜族自治县，该区域东南与朝鲜民主主义人民共和国毗邻，规划管理区管辖面积3278平方公里。规划范围内涉及周边县（区）管辖问题，以实际管辖为准。</w:t>
            </w:r>
          </w:p>
        </w:tc>
        <w:tc>
          <w:tcPr>
            <w:tcW w:w="742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w:t>
            </w:r>
            <w:r>
              <w:rPr>
                <w:rFonts w:ascii="Times New Roman" w:hAnsi="Times New Roman" w:eastAsia="仿宋" w:cs="Times New Roman"/>
                <w:szCs w:val="24"/>
              </w:rPr>
              <w:t xml:space="preserve"> </w:t>
            </w:r>
            <w:r>
              <w:rPr>
                <w:rFonts w:ascii="Times New Roman" w:hAnsi="Times New Roman" w:eastAsia="仿宋" w:cs="Times New Roman"/>
                <w:bCs/>
                <w:szCs w:val="21"/>
              </w:rPr>
              <w:t>充分利用长白山世界级的自然生态、人文环境，通过打造“绿色长白山、魅力长白山、宜居长白山和活力长白山”，用特色化内容实现国际化，用国际化的标准完成特色化，用世界唯一创造世界第一，朝着国际化的目标迈进，建设成为具有东北地域特征、长白山文化特色的生态文明示范，成为代表中华民族展示生态文明理念的“窗口”。</w:t>
            </w:r>
          </w:p>
          <w:p>
            <w:pPr>
              <w:rPr>
                <w:rFonts w:ascii="Times New Roman" w:hAnsi="Times New Roman" w:eastAsia="仿宋" w:cs="Times New Roman"/>
                <w:bCs/>
                <w:szCs w:val="21"/>
              </w:rPr>
            </w:pPr>
            <w:r>
              <w:rPr>
                <w:rFonts w:ascii="Times New Roman" w:hAnsi="Times New Roman" w:eastAsia="仿宋" w:cs="Times New Roman"/>
                <w:bCs/>
                <w:szCs w:val="21"/>
              </w:rPr>
              <w:t>2.</w:t>
            </w:r>
            <w:r>
              <w:rPr>
                <w:rFonts w:ascii="Times New Roman" w:hAnsi="Times New Roman" w:eastAsia="仿宋" w:cs="Times New Roman"/>
                <w:szCs w:val="24"/>
              </w:rPr>
              <w:t xml:space="preserve"> 在加快发展旅游支柱产业的基础上，大力开发长白山文化、特色生态资源、矿泉水等优势产业，形成覆盖文化艺术、生态旅游、绿色特产、健康养生、商贸物流、特色资源加工等多个领域的产业融合发展体系，积极推进资源耗竭、环境污染、生态退化型的物态经济向资源节约、环境友好、社会繁荣型的生态经济方向转变，增强造血功能，成为支撑长白山绿色发展、转型发展的坚定基石。</w:t>
            </w:r>
          </w:p>
        </w:tc>
        <w:tc>
          <w:tcPr>
            <w:tcW w:w="436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w:t>
            </w:r>
          </w:p>
        </w:tc>
        <w:tc>
          <w:tcPr>
            <w:tcW w:w="460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cs="Times New Roman"/>
                <w:bCs/>
                <w:szCs w:val="21"/>
              </w:rPr>
            </w:pPr>
            <w:r>
              <w:rPr>
                <w:rFonts w:ascii="Times New Roman" w:hAnsi="Times New Roman" w:eastAsia="仿宋" w:cs="Times New Roman"/>
                <w:bCs/>
                <w:szCs w:val="21"/>
              </w:rPr>
              <w:t>1.重点保护</w:t>
            </w:r>
          </w:p>
          <w:p>
            <w:pPr>
              <w:jc w:val="left"/>
              <w:rPr>
                <w:rFonts w:ascii="Times New Roman" w:hAnsi="Times New Roman" w:eastAsia="仿宋" w:cs="Times New Roman"/>
                <w:bCs/>
                <w:szCs w:val="21"/>
              </w:rPr>
            </w:pPr>
            <w:r>
              <w:rPr>
                <w:rFonts w:ascii="Times New Roman" w:hAnsi="Times New Roman" w:eastAsia="仿宋" w:cs="Times New Roman"/>
                <w:bCs/>
                <w:szCs w:val="21"/>
              </w:rPr>
              <w:t>长白山自然保护区</w:t>
            </w:r>
            <w:r>
              <w:rPr>
                <w:rFonts w:hint="eastAsia" w:ascii="Times New Roman" w:hAnsi="Times New Roman" w:eastAsia="仿宋" w:cs="Times New Roman"/>
                <w:bCs/>
                <w:szCs w:val="21"/>
              </w:rPr>
              <w:t>，</w:t>
            </w:r>
            <w:r>
              <w:rPr>
                <w:rFonts w:ascii="Times New Roman" w:hAnsi="Times New Roman" w:eastAsia="仿宋" w:cs="Times New Roman"/>
              </w:rPr>
              <w:t>池北区二道白河饮用水源地</w:t>
            </w:r>
            <w:r>
              <w:rPr>
                <w:rFonts w:hint="eastAsia" w:ascii="Times New Roman" w:hAnsi="Times New Roman" w:eastAsia="仿宋" w:cs="Times New Roman"/>
              </w:rPr>
              <w:t>，</w:t>
            </w:r>
            <w:r>
              <w:rPr>
                <w:rFonts w:ascii="Times New Roman" w:hAnsi="Times New Roman" w:eastAsia="仿宋" w:cs="Times New Roman"/>
              </w:rPr>
              <w:t>池西区泉水河饮用水源地，池南区桦皮河饮用水源地，吉林锦江特有鱼类国家级水产种质资源保护区，碱水河国家湿地公园等。</w:t>
            </w:r>
          </w:p>
          <w:p>
            <w:pPr>
              <w:rPr>
                <w:rFonts w:ascii="Times New Roman" w:hAnsi="Times New Roman" w:eastAsia="仿宋" w:cs="Times New Roman"/>
                <w:bCs/>
                <w:szCs w:val="21"/>
              </w:rPr>
            </w:pPr>
            <w:r>
              <w:rPr>
                <w:rFonts w:ascii="Times New Roman" w:hAnsi="Times New Roman" w:eastAsia="仿宋" w:cs="Times New Roman"/>
                <w:bCs/>
                <w:szCs w:val="21"/>
              </w:rPr>
              <w:t>2.重点解决问题</w:t>
            </w:r>
          </w:p>
          <w:p>
            <w:pPr>
              <w:rPr>
                <w:rFonts w:ascii="Times New Roman" w:hAnsi="Times New Roman" w:eastAsia="仿宋" w:cs="Times New Roman"/>
                <w:bCs/>
                <w:szCs w:val="21"/>
              </w:rPr>
            </w:pPr>
            <w:r>
              <w:rPr>
                <w:rFonts w:ascii="Times New Roman" w:hAnsi="Times New Roman" w:eastAsia="仿宋" w:cs="Times New Roman"/>
                <w:bCs/>
                <w:szCs w:val="21"/>
              </w:rPr>
              <w:t>（1）改善区域水环境质量。</w:t>
            </w:r>
          </w:p>
          <w:p>
            <w:pPr>
              <w:rPr>
                <w:rFonts w:ascii="Times New Roman" w:hAnsi="Times New Roman" w:eastAsia="仿宋" w:cs="Times New Roman"/>
                <w:bCs/>
                <w:color w:val="FF0000"/>
                <w:szCs w:val="21"/>
              </w:rPr>
            </w:pPr>
            <w:r>
              <w:rPr>
                <w:rFonts w:ascii="Times New Roman" w:hAnsi="Times New Roman" w:eastAsia="仿宋" w:cs="Times New Roman"/>
                <w:bCs/>
                <w:szCs w:val="21"/>
              </w:rPr>
              <w:t>（2）重点保护生态环境，维持生物多样性。</w:t>
            </w:r>
          </w:p>
        </w:tc>
      </w:tr>
    </w:tbl>
    <w:p>
      <w:pPr>
        <w:ind w:firstLine="422" w:firstLineChars="200"/>
        <w:jc w:val="center"/>
        <w:rPr>
          <w:rFonts w:ascii="Times New Roman" w:hAnsi="Times New Roman" w:eastAsia="仿宋" w:cs="Times New Roman"/>
          <w:b/>
          <w:color w:val="FF0000"/>
          <w:szCs w:val="21"/>
        </w:rPr>
      </w:pPr>
    </w:p>
    <w:p>
      <w:pPr>
        <w:ind w:firstLine="422" w:firstLineChars="200"/>
        <w:jc w:val="center"/>
        <w:rPr>
          <w:rFonts w:ascii="Times New Roman" w:hAnsi="Times New Roman" w:eastAsia="仿宋" w:cs="Times New Roman"/>
          <w:b/>
          <w:color w:val="FF0000"/>
          <w:szCs w:val="21"/>
        </w:rPr>
      </w:pPr>
    </w:p>
    <w:p>
      <w:pPr>
        <w:jc w:val="center"/>
        <w:rPr>
          <w:rFonts w:ascii="Times New Roman" w:hAnsi="Times New Roman" w:eastAsia="仿宋" w:cs="Times New Roman"/>
          <w:b/>
          <w:kern w:val="0"/>
          <w:sz w:val="24"/>
          <w:szCs w:val="24"/>
        </w:rPr>
      </w:pPr>
      <w:bookmarkStart w:id="153" w:name="_Toc27987247"/>
      <w:r>
        <w:rPr>
          <w:rFonts w:ascii="Times New Roman" w:hAnsi="Times New Roman" w:eastAsia="仿宋" w:cs="Times New Roman"/>
          <w:b/>
          <w:kern w:val="0"/>
          <w:sz w:val="24"/>
          <w:szCs w:val="24"/>
        </w:rPr>
        <w:t>表4-61-2 长白山保护开发区生态环境准入清单</w:t>
      </w:r>
      <w:bookmarkEnd w:id="153"/>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982"/>
        <w:gridCol w:w="1498"/>
        <w:gridCol w:w="1764"/>
        <w:gridCol w:w="9151"/>
        <w:gridCol w:w="3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431" w:type="pct"/>
            <w:shd w:val="clear" w:color="auto" w:fill="auto"/>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环境管控单元编码</w:t>
            </w:r>
          </w:p>
        </w:tc>
        <w:tc>
          <w:tcPr>
            <w:tcW w:w="705" w:type="pct"/>
            <w:shd w:val="clear" w:color="auto" w:fill="auto"/>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环境管控单元名称</w:t>
            </w:r>
          </w:p>
        </w:tc>
        <w:tc>
          <w:tcPr>
            <w:tcW w:w="354" w:type="pct"/>
            <w:tcBorders>
              <w:right w:val="single" w:color="auto" w:sz="4" w:space="0"/>
            </w:tcBorders>
            <w:shd w:val="clear" w:color="auto" w:fill="auto"/>
            <w:noWrap/>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管控单元分类</w:t>
            </w:r>
          </w:p>
        </w:tc>
        <w:tc>
          <w:tcPr>
            <w:tcW w:w="417"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管控类型</w:t>
            </w:r>
          </w:p>
        </w:tc>
        <w:tc>
          <w:tcPr>
            <w:tcW w:w="2163" w:type="pct"/>
            <w:tcBorders>
              <w:left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kern w:val="0"/>
                <w:sz w:val="20"/>
                <w:szCs w:val="20"/>
              </w:rPr>
            </w:pPr>
            <w:r>
              <w:rPr>
                <w:rFonts w:ascii="Times New Roman" w:hAnsi="Times New Roman" w:eastAsia="仿宋" w:cs="Times New Roman"/>
                <w:b/>
                <w:kern w:val="0"/>
                <w:sz w:val="20"/>
                <w:szCs w:val="20"/>
              </w:rPr>
              <w:t>管控要求</w:t>
            </w:r>
          </w:p>
        </w:tc>
        <w:tc>
          <w:tcPr>
            <w:tcW w:w="927" w:type="pct"/>
            <w:tcBorders>
              <w:left w:val="single" w:color="auto" w:sz="4" w:space="0"/>
              <w:right w:val="single" w:color="auto" w:sz="4" w:space="0"/>
            </w:tcBorders>
            <w:vAlign w:val="center"/>
          </w:tcPr>
          <w:p>
            <w:pPr>
              <w:widowControl/>
              <w:jc w:val="center"/>
              <w:rPr>
                <w:rFonts w:ascii="Times New Roman" w:hAnsi="Times New Roman" w:eastAsia="仿宋" w:cs="Times New Roman"/>
                <w:b/>
                <w:kern w:val="0"/>
                <w:sz w:val="20"/>
                <w:szCs w:val="20"/>
              </w:rPr>
            </w:pPr>
            <w:r>
              <w:rPr>
                <w:rFonts w:ascii="Times New Roman" w:hAnsi="Times New Roman" w:eastAsia="仿宋" w:cs="Times New Roman"/>
                <w:b/>
                <w:kern w:val="0"/>
                <w:sz w:val="20"/>
                <w:szCs w:val="20"/>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3</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吉林长白山国家级自然保护区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自然保护区、饮用水水源保护区、江河源头区域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4</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吉林园池湿地国家级自然保护区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自然保护区、重要湿地、江河源头区域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5</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吉林鸭绿江上游国家级自然保护区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6</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吉林头道松花江上游国家级自然保护区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5生态保护红线内重要湿地执行《中华人民共和国湿地保护法》《湿地保护管理规定》《吉林省湿地保护条例》《关于特别是作为水禽栖息地的国际重要湿地公约》相关要求。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生态保护红线、大气环境优先保护区、水环境优先保护区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自然保护区、生物多样性维护、饮用水水源保护区、水产种质资源保护区、重要湿地、江河源头区域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7</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吉林长白鸭绿江源湿地省级自然保护区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2生态保护红线内自然保护区执行《中华人民共和国自然保护区条例》相关要求。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生态保护红线、大气环境优先保护区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ZH2224261002</w:t>
            </w:r>
            <w:r>
              <w:rPr>
                <w:rFonts w:hint="eastAsia" w:ascii="Times New Roman" w:hAnsi="Times New Roman" w:eastAsia="仿宋" w:cs="Times New Roman"/>
                <w:sz w:val="20"/>
                <w:szCs w:val="20"/>
              </w:rPr>
              <w:t>8</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吉林白河长白松省级森林公园</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w:t>
            </w:r>
            <w:r>
              <w:rPr>
                <w:rFonts w:hint="eastAsia" w:ascii="Times New Roman" w:hAnsi="Times New Roman" w:eastAsia="仿宋" w:cs="Times New Roman"/>
                <w:sz w:val="20"/>
                <w:szCs w:val="20"/>
              </w:rPr>
              <w:t>29</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吉林长白山北坡国家级森林公园</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0</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吉林长白山北坡国家级森林公园</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2国家级森林公园执行《国家级自然公园管理办法（试行）》相关要求。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1</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吉林长白国家森林公园</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2</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吉林图们江源国家森林公园</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3</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吉林松江河国家森林公园</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2生态保护红线内国家级森林公园执行《国家级自然公园管理办法（试行）》相关要求。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森林公园、饮用水水源保护区、江河源头区域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w:t>
            </w:r>
            <w:r>
              <w:rPr>
                <w:rFonts w:hint="eastAsia" w:ascii="Times New Roman" w:hAnsi="Times New Roman" w:eastAsia="仿宋" w:cs="Times New Roman"/>
                <w:sz w:val="20"/>
                <w:szCs w:val="20"/>
              </w:rPr>
              <w:t>34</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吉林长白山碱水河国家湿地公园</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2生态保护红线内湿地公园执行《中华人民共和国湿地保护法》《湿地保护管理规定》</w:t>
            </w:r>
            <w:r>
              <w:rPr>
                <w:rFonts w:hint="eastAsia" w:ascii="Times New Roman" w:hAnsi="Times New Roman" w:eastAsia="仿宋" w:cs="Times New Roman"/>
                <w:bCs/>
                <w:kern w:val="0"/>
                <w:sz w:val="20"/>
                <w:szCs w:val="20"/>
              </w:rPr>
              <w:t>《国家级自然公园管理办法（试行）》</w:t>
            </w:r>
            <w:r>
              <w:rPr>
                <w:rFonts w:ascii="Times New Roman" w:hAnsi="Times New Roman" w:eastAsia="仿宋" w:cs="Times New Roman"/>
                <w:bCs/>
                <w:kern w:val="0"/>
                <w:sz w:val="20"/>
                <w:szCs w:val="20"/>
              </w:rPr>
              <w:t>《吉林省湿地保护条例》《关于特别是作为水禽栖息地的国际重要湿地公约》相关要求。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湿地公园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5</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长白山保护开发区池南区桦皮河饮用水水源保护区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6</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长白山保护开发区池北区二道白河集中式饮用水水源保护区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7</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吉林长白山天然矿泉水安图饮用水水源保护区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ZH2224261003</w:t>
            </w:r>
            <w:r>
              <w:rPr>
                <w:rFonts w:hint="eastAsia" w:ascii="Times New Roman" w:hAnsi="Times New Roman" w:eastAsia="仿宋" w:cs="Times New Roman"/>
                <w:sz w:val="20"/>
                <w:szCs w:val="20"/>
              </w:rPr>
              <w:t>8</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抚松县大沙河饮用水水源保护区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w:t>
            </w:r>
            <w:r>
              <w:rPr>
                <w:rFonts w:hint="eastAsia" w:ascii="Times New Roman" w:hAnsi="Times New Roman" w:eastAsia="仿宋" w:cs="Times New Roman"/>
                <w:sz w:val="20"/>
                <w:szCs w:val="20"/>
              </w:rPr>
              <w:t>39</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长白山保护开发区池西区泉水河集中式饮用水水源保护区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2饮用水水源保护区执行《中华人民共和国水污染防治法》《饮用水水源保护区污染防治管理规定》《吉林省城镇饮用水水源保护条例》相关要求。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0</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hint="eastAsia" w:ascii="Times New Roman" w:hAnsi="Times New Roman" w:eastAsia="仿宋" w:cs="Times New Roman"/>
                <w:sz w:val="20"/>
                <w:szCs w:val="20"/>
              </w:rPr>
              <w:t>吉林</w:t>
            </w:r>
            <w:r>
              <w:rPr>
                <w:rFonts w:ascii="Times New Roman" w:hAnsi="Times New Roman" w:eastAsia="仿宋" w:cs="Times New Roman"/>
                <w:sz w:val="20"/>
                <w:szCs w:val="20"/>
              </w:rPr>
              <w:t>锦江特有鱼类国家级水产种质资源保护区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2水产种质资源保护区执行《水产种质资源保护区管理办法》相关要求。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水产种质资源保护区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1</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五道白河水功能区一级区保护区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2</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松江河水功能区一级区保护区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3</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头道松花江水功能区一级区保护区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4</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图们江水源涵养与生物多样性维护功能生态保护红线</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水源涵养、生物多样性维护、江河源头区域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5</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鸭绿江水源涵养与生物多样性维护功能生态保护红线</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水源涵养、生物多样性维护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6</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松花江水源涵养与生物多样性维护功能生态保护红线</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2生态保护红线内饮用水水源保护区执行《中华人民共和国水污染防治法》《饮用水水源保护区污染防治管理规定》《吉林省城镇饮用水水源保护条例》相关要求。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3生态保护红线内水产种质资源保护区执行《水产种质资源保护区管理办法》相关要求。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水源涵养、生物多样性维护、饮用水水源保护区、水产种质资源保护区、江河源头区域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7</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长白山保护开发区水源涵养功能生态保护红线</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1原则上按禁止开发区域的要求进行管理，执行</w:t>
            </w:r>
            <w:r>
              <w:rPr>
                <w:rFonts w:hint="eastAsia" w:ascii="Times New Roman" w:hAnsi="Times New Roman" w:eastAsia="仿宋" w:cs="Times New Roman"/>
                <w:kern w:val="0"/>
                <w:sz w:val="20"/>
                <w:szCs w:val="20"/>
              </w:rPr>
              <w:t>《自然资源部 生态环境部 国家林业和草原局关于加强生态保护红线管理的通知（试行）》《吉林省生态保护红线监管办法（试行）》</w:t>
            </w:r>
            <w:r>
              <w:rPr>
                <w:rFonts w:ascii="Times New Roman" w:hAnsi="Times New Roman" w:eastAsia="仿宋" w:cs="Times New Roman"/>
                <w:kern w:val="0"/>
                <w:sz w:val="20"/>
                <w:szCs w:val="20"/>
              </w:rPr>
              <w:t>中相关要求。</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2生态保护红线内江河源头区域执行《水功能区监督管理办法》相关要求。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生态保护红线、水环境优先保护区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水源涵养、江河源头区域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ZH2224261004</w:t>
            </w:r>
            <w:r>
              <w:rPr>
                <w:rFonts w:hint="eastAsia" w:ascii="Times New Roman" w:hAnsi="Times New Roman" w:eastAsia="仿宋" w:cs="Times New Roman"/>
                <w:sz w:val="20"/>
                <w:szCs w:val="20"/>
              </w:rPr>
              <w:t>8</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长白山保护开发区水源涵养功能重要区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2禁止各种损害生态系统水源涵养功能的经济社会活动和生产方式，如无序采矿、毁林开荒、湿地和草地开垦、过度放牧等。禁止导致水体污染的产业发展。</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3</w:t>
            </w:r>
            <w:r>
              <w:rPr>
                <w:rFonts w:ascii="Times New Roman" w:hAnsi="Times New Roman" w:eastAsia="仿宋" w:cs="Times New Roman"/>
                <w:kern w:val="0"/>
                <w:sz w:val="20"/>
                <w:szCs w:val="20"/>
              </w:rPr>
              <w:t>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4</w:t>
            </w:r>
            <w:r>
              <w:rPr>
                <w:rFonts w:ascii="Times New Roman" w:hAnsi="Times New Roman" w:eastAsia="仿宋" w:cs="Times New Roman"/>
                <w:kern w:val="0"/>
                <w:sz w:val="20"/>
                <w:szCs w:val="20"/>
              </w:rPr>
              <w:t>禁止在沙化土地上砍挖灌木、药材及其他固沙植物。在沙化土地封禁保护区范围内，禁止一切破坏植被的活动。禁止在沙化土地封禁保护区范围内安置移民。</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5</w:t>
            </w:r>
            <w:r>
              <w:rPr>
                <w:rFonts w:ascii="Times New Roman" w:hAnsi="Times New Roman" w:eastAsia="仿宋" w:cs="Times New Roman"/>
                <w:kern w:val="0"/>
                <w:sz w:val="20"/>
                <w:szCs w:val="20"/>
              </w:rPr>
              <w:t>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6区内不符合主体功能定位的的现有产业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hint="eastAsia" w:ascii="Times New Roman" w:hAnsi="Times New Roman" w:eastAsia="仿宋" w:cs="Times New Roman"/>
                <w:kern w:val="0"/>
                <w:sz w:val="20"/>
                <w:szCs w:val="20"/>
              </w:rPr>
              <w:t>7</w:t>
            </w:r>
            <w:r>
              <w:rPr>
                <w:rFonts w:ascii="Times New Roman" w:hAnsi="Times New Roman" w:eastAsia="仿宋" w:cs="Times New Roman"/>
                <w:kern w:val="0"/>
                <w:sz w:val="20"/>
                <w:szCs w:val="20"/>
              </w:rPr>
              <w:t>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水源涵养、防风固沙、生物多样性、水土保持、水土流失、江河源头区域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w:t>
            </w:r>
            <w:r>
              <w:rPr>
                <w:rFonts w:hint="eastAsia" w:ascii="Times New Roman" w:hAnsi="Times New Roman" w:eastAsia="仿宋" w:cs="Times New Roman"/>
                <w:sz w:val="20"/>
                <w:szCs w:val="20"/>
              </w:rPr>
              <w:t>49</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长白山保护开发区生物多样性重要区</w:t>
            </w:r>
          </w:p>
        </w:tc>
        <w:tc>
          <w:tcPr>
            <w:tcW w:w="354"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2禁止各种损害栖息地的经济社会活动和生产方式，如无序采矿、毁林开荒、湿地和草地开垦等。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4原则上不再新建各类产业园区，严禁随意扩大现有产业园区范围。以工业为主的产业园区应加快完成园区的循环化改造，鼓励推进低消耗、可循环、少排放的生态型工业区建设。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5</w:t>
            </w:r>
            <w:r>
              <w:rPr>
                <w:rFonts w:hint="eastAsia" w:ascii="Times New Roman" w:hAnsi="Times New Roman" w:eastAsia="仿宋" w:cs="Times New Roman"/>
                <w:kern w:val="0"/>
                <w:sz w:val="20"/>
                <w:szCs w:val="20"/>
              </w:rPr>
              <w:t>区内不符合主体功能定位的的现有产业</w:t>
            </w:r>
            <w:r>
              <w:rPr>
                <w:rFonts w:ascii="Times New Roman" w:hAnsi="Times New Roman" w:eastAsia="仿宋" w:cs="Times New Roman"/>
                <w:kern w:val="0"/>
                <w:sz w:val="20"/>
                <w:szCs w:val="20"/>
              </w:rPr>
              <w:t>，实施搬迁或关闭。对已造成的污染或损害，应限期治理。</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6江河源头区域执行《水功能区监督管理办法》相关要求。</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一般生态空间、水环境优先保护区</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生物多样性、水土保持、水土流失、江河源头区域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ZH2224261005</w:t>
            </w:r>
            <w:r>
              <w:rPr>
                <w:rFonts w:hint="eastAsia" w:ascii="Times New Roman" w:hAnsi="Times New Roman" w:eastAsia="仿宋" w:cs="Times New Roman"/>
                <w:sz w:val="20"/>
                <w:szCs w:val="20"/>
              </w:rPr>
              <w:t>0</w:t>
            </w:r>
          </w:p>
        </w:tc>
        <w:tc>
          <w:tcPr>
            <w:tcW w:w="705" w:type="pct"/>
            <w:shd w:val="clear" w:color="auto" w:fill="auto"/>
            <w:noWrap/>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长白山保护开发区水土流失敏感区</w:t>
            </w:r>
          </w:p>
        </w:tc>
        <w:tc>
          <w:tcPr>
            <w:tcW w:w="354" w:type="pc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1-优先保护</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1原则上按限制开发区域的要求进行管理。避免开发建设活动损害生态服务功能和生态产品质量。</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3原则上不再新建各类产业园区，严禁随意扩大现有产业园区范围。以工业为主的产业园区应加快完成园区的循环化改造，鼓励推进低消耗、可循环、少排放的生态型工业区建设。</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4</w:t>
            </w:r>
            <w:r>
              <w:rPr>
                <w:rFonts w:hint="eastAsia" w:ascii="Times New Roman" w:hAnsi="Times New Roman" w:eastAsia="仿宋" w:cs="Times New Roman"/>
                <w:bCs/>
                <w:kern w:val="0"/>
                <w:sz w:val="20"/>
                <w:szCs w:val="20"/>
              </w:rPr>
              <w:t>区内不符合主体功能定位的的现有产业</w:t>
            </w:r>
            <w:r>
              <w:rPr>
                <w:rFonts w:ascii="Times New Roman" w:hAnsi="Times New Roman" w:eastAsia="仿宋" w:cs="Times New Roman"/>
                <w:bCs/>
                <w:kern w:val="0"/>
                <w:sz w:val="20"/>
                <w:szCs w:val="20"/>
              </w:rPr>
              <w:t>，实施搬迁或关闭。对已造成的污染或损害，应限期治理。</w:t>
            </w:r>
          </w:p>
        </w:tc>
        <w:tc>
          <w:tcPr>
            <w:tcW w:w="92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要素分区：</w:t>
            </w:r>
            <w:r>
              <w:rPr>
                <w:rFonts w:ascii="Times New Roman" w:hAnsi="Times New Roman" w:eastAsia="仿宋" w:cs="Times New Roman"/>
                <w:kern w:val="0"/>
                <w:sz w:val="20"/>
                <w:szCs w:val="20"/>
              </w:rPr>
              <w:t>一般生态空间</w:t>
            </w:r>
          </w:p>
          <w:p>
            <w:pPr>
              <w:widowControl/>
              <w:jc w:val="left"/>
              <w:rPr>
                <w:rFonts w:ascii="Times New Roman" w:hAnsi="Times New Roman" w:eastAsia="仿宋" w:cs="Times New Roman"/>
                <w:kern w:val="0"/>
                <w:sz w:val="20"/>
                <w:szCs w:val="20"/>
              </w:rPr>
            </w:pPr>
            <w:r>
              <w:rPr>
                <w:rFonts w:ascii="Times New Roman" w:hAnsi="Times New Roman" w:eastAsia="仿宋" w:cs="Times New Roman"/>
                <w:b/>
                <w:bCs/>
                <w:kern w:val="0"/>
                <w:sz w:val="20"/>
                <w:szCs w:val="20"/>
              </w:rPr>
              <w:t>保护对象：</w:t>
            </w:r>
            <w:r>
              <w:rPr>
                <w:rFonts w:ascii="Times New Roman" w:hAnsi="Times New Roman" w:eastAsia="仿宋" w:cs="Times New Roman"/>
                <w:kern w:val="0"/>
                <w:sz w:val="20"/>
                <w:szCs w:val="20"/>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ZH22242620006</w:t>
            </w:r>
          </w:p>
        </w:tc>
        <w:tc>
          <w:tcPr>
            <w:tcW w:w="7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吉林抚松经济开发区</w:t>
            </w:r>
          </w:p>
        </w:tc>
        <w:tc>
          <w:tcPr>
            <w:tcW w:w="354" w:type="pct"/>
            <w:vMerge w:val="restart"/>
            <w:shd w:val="clear" w:color="auto" w:fill="auto"/>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2-重点管控</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空间布局约束</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w:t>
            </w:r>
            <w:r>
              <w:rPr>
                <w:rFonts w:hint="eastAsia" w:ascii="Times New Roman" w:hAnsi="Times New Roman" w:eastAsia="仿宋" w:cs="Times New Roman"/>
                <w:kern w:val="0"/>
                <w:sz w:val="20"/>
                <w:szCs w:val="20"/>
              </w:rPr>
              <w:t>严格落实规划环评及其批复文件环境准入条件</w:t>
            </w:r>
            <w:r>
              <w:rPr>
                <w:rFonts w:ascii="Times New Roman" w:hAnsi="Times New Roman" w:eastAsia="仿宋" w:cs="Times New Roman"/>
                <w:kern w:val="0"/>
                <w:sz w:val="20"/>
                <w:szCs w:val="20"/>
              </w:rPr>
              <w:t>。</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2严格控制高耗水、高污染行业发展。</w:t>
            </w:r>
          </w:p>
        </w:tc>
        <w:tc>
          <w:tcPr>
            <w:tcW w:w="927" w:type="pct"/>
            <w:vMerge w:val="restart"/>
            <w:vAlign w:val="center"/>
          </w:tcPr>
          <w:p>
            <w:pPr>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大气环境高排放重点管控区、水环境工业污染重点管控区、抚松-二道白河矿泉水重点矿区、高污染燃料禁燃区</w:t>
            </w:r>
          </w:p>
          <w:p>
            <w:pPr>
              <w:widowControl/>
              <w:jc w:val="left"/>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旅游类、现代服务业、人参业为主的现代医药健康产业、林产品为主的木制品加工产业、基础设施和公共服务设施建设</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《企业事业单位突发环境事件应急预案备案管理办法（试行）》《污染地块土壤环境管理办法（试行）》《工矿用地土壤环境管理办法（试行）》《中共吉林省委 吉林省人民政府关于深入打好污染防治攻坚战的实施意见》《吉林省减污降碳协同增效实施方案》《吉林省 “十四五”节能减排综合实施方案》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rPr>
                <w:rFonts w:ascii="Times New Roman" w:hAnsi="Times New Roman" w:eastAsia="仿宋" w:cs="Times New Roman"/>
                <w:sz w:val="20"/>
                <w:szCs w:val="20"/>
              </w:rPr>
            </w:pPr>
            <w:r>
              <w:rPr>
                <w:rFonts w:ascii="Times New Roman" w:hAnsi="Times New Roman" w:eastAsia="仿宋" w:cs="Times New Roman"/>
                <w:kern w:val="0"/>
                <w:sz w:val="20"/>
                <w:szCs w:val="20"/>
              </w:rPr>
              <w:t>污染物排放管控</w:t>
            </w:r>
          </w:p>
        </w:tc>
        <w:tc>
          <w:tcPr>
            <w:tcW w:w="2163" w:type="pct"/>
            <w:vAlign w:val="center"/>
          </w:tcPr>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1工业涂装等涉及挥发性有机物排放的行业企业属于控制重点，应推广使用低（无）挥发性有机物含量的原辅材料，安装高效集气装置等措施，提升工艺废气、尾气收集处置率。</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2重点行业污染治理升级改造，推进各类园区循环化改造。</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rPr>
                <w:rFonts w:ascii="Times New Roman" w:hAnsi="Times New Roman" w:eastAsia="仿宋" w:cs="Times New Roman"/>
                <w:kern w:val="0"/>
                <w:sz w:val="20"/>
                <w:szCs w:val="20"/>
              </w:rPr>
            </w:pPr>
            <w:r>
              <w:rPr>
                <w:rFonts w:ascii="Times New Roman" w:hAnsi="Times New Roman" w:eastAsia="仿宋" w:cs="Times New Roman"/>
                <w:kern w:val="0"/>
                <w:sz w:val="20"/>
                <w:szCs w:val="20"/>
              </w:rPr>
              <w:t>4执行《吉林省新污染物治理实施方案》相关要求，加强新污染物多环境介质协同治理，全面强化清洁生产和绿色制造。</w:t>
            </w:r>
          </w:p>
        </w:tc>
        <w:tc>
          <w:tcPr>
            <w:tcW w:w="927" w:type="pct"/>
            <w:vMerge w:val="continue"/>
            <w:vAlign w:val="center"/>
          </w:tcPr>
          <w:p>
            <w:pPr>
              <w:widowControl/>
              <w:jc w:val="left"/>
              <w:rPr>
                <w:rFonts w:ascii="Times New Roman" w:hAnsi="Times New Roman" w:eastAsia="仿宋" w:cs="Times New Roman"/>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环境风险防控</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w:t>
            </w:r>
            <w:r>
              <w:rPr>
                <w:rFonts w:hint="eastAsia" w:ascii="Times New Roman" w:hAnsi="Times New Roman" w:eastAsia="仿宋" w:cs="Times New Roman"/>
                <w:sz w:val="20"/>
                <w:szCs w:val="20"/>
              </w:rPr>
              <w:t>严格管理涉及易导致环境风险的有毒有害和易燃易爆物质的生产、使用、贮运等新建、改扩建项目</w:t>
            </w:r>
            <w:r>
              <w:rPr>
                <w:rFonts w:ascii="Times New Roman" w:hAnsi="Times New Roman" w:eastAsia="仿宋" w:cs="Times New Roman"/>
                <w:sz w:val="20"/>
                <w:szCs w:val="20"/>
              </w:rPr>
              <w:t>。</w:t>
            </w:r>
          </w:p>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2开发区应制定环境风险应急预案，成立应急组织机构，定期开展应急演练，提高区域环境风险防范能力。</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3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27" w:type="pct"/>
            <w:vMerge w:val="continue"/>
            <w:vAlign w:val="center"/>
          </w:tcPr>
          <w:p>
            <w:pPr>
              <w:widowControl/>
              <w:jc w:val="left"/>
              <w:rPr>
                <w:rFonts w:ascii="Times New Roman" w:hAnsi="Times New Roman" w:eastAsia="仿宋" w:cs="Times New Roman"/>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资源开发效率</w:t>
            </w:r>
          </w:p>
        </w:tc>
        <w:tc>
          <w:tcPr>
            <w:tcW w:w="2163"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1禁燃区内禁止燃用的高污染燃料按照《长白山管委会办公室关于划定长白山保护开发区高污染燃料禁燃区的通知》执行；禁燃区内禁止新建、改建、扩建燃用高污染燃料的锅炉、窑炉、炉灶等燃烧设施（集中供热锅炉除外）；禁燃区内使用高污染燃料的锅炉、窑炉、炉灶等燃烧设施（集中供热锅炉除外）应在规定期限改用天然气、液化石油气、电或者其他清洁能源；逾期未改用的，不得继续使用。禁燃区内禁止销售高污染燃料。</w:t>
            </w:r>
          </w:p>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2积极推进区内供热（汽）管网建设，尽快实现开发区集中供热。在实现开发区集中供热之前，应采用电加热或清洁能源作为过渡热源。园区新建供热设施须执行排放浓度限值。</w:t>
            </w:r>
          </w:p>
        </w:tc>
        <w:tc>
          <w:tcPr>
            <w:tcW w:w="927" w:type="pct"/>
            <w:vMerge w:val="continue"/>
            <w:vAlign w:val="center"/>
          </w:tcPr>
          <w:p>
            <w:pPr>
              <w:widowControl/>
              <w:jc w:val="left"/>
              <w:rPr>
                <w:rFonts w:ascii="Times New Roman" w:hAnsi="Times New Roman" w:eastAsia="仿宋" w:cs="Times New Roman"/>
                <w:b/>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ZH22242620007</w:t>
            </w:r>
          </w:p>
        </w:tc>
        <w:tc>
          <w:tcPr>
            <w:tcW w:w="7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吉林省长白山管委会池西经济管理区</w:t>
            </w:r>
          </w:p>
        </w:tc>
        <w:tc>
          <w:tcPr>
            <w:tcW w:w="354" w:type="pct"/>
            <w:vMerge w:val="restart"/>
            <w:shd w:val="clear" w:color="auto" w:fill="auto"/>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2-重点管控</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2严格控制高耗水、高污染行业发展。</w:t>
            </w:r>
          </w:p>
        </w:tc>
        <w:tc>
          <w:tcPr>
            <w:tcW w:w="927" w:type="pct"/>
            <w:vMerge w:val="restart"/>
            <w:vAlign w:val="center"/>
          </w:tcPr>
          <w:p>
            <w:pPr>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大气环境受体敏感重点管控区、水环境城镇生活污染重点管控区、抚松-二道白河矿泉水重点矿区、高污染燃料禁燃区</w:t>
            </w:r>
          </w:p>
          <w:p>
            <w:pPr>
              <w:widowControl/>
              <w:rPr>
                <w:rFonts w:ascii="Times New Roman" w:hAnsi="Times New Roman" w:eastAsia="仿宋" w:cs="Times New Roman"/>
                <w:b/>
                <w:bCs/>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生态旅游业、现代服务业为支撑、特色生态资源产业</w:t>
            </w:r>
            <w:r>
              <w:rPr>
                <w:rFonts w:hint="eastAsia" w:ascii="Times New Roman" w:hAnsi="Times New Roman" w:eastAsia="仿宋" w:cs="Times New Roman"/>
                <w:sz w:val="20"/>
                <w:szCs w:val="20"/>
              </w:rPr>
              <w:t>、康养度假、健康产业</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基于“三线”研究成果提出，《长白山区域矿泉水资源保护与开发利用规划（2021-2025年）》。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16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color w:val="FF0000"/>
                <w:sz w:val="20"/>
                <w:szCs w:val="21"/>
              </w:rPr>
            </w:pPr>
            <w:r>
              <w:rPr>
                <w:rFonts w:ascii="Times New Roman" w:hAnsi="Times New Roman" w:eastAsia="仿宋" w:cs="Times New Roman"/>
                <w:kern w:val="0"/>
                <w:sz w:val="20"/>
                <w:szCs w:val="20"/>
              </w:rPr>
              <w:t>2城市建成区原则上不再新建每小时35蒸吨以下燃煤锅炉。</w:t>
            </w:r>
          </w:p>
        </w:tc>
        <w:tc>
          <w:tcPr>
            <w:tcW w:w="927"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长白山管委会办公室关于划定长白山保护开发区高污染燃料禁燃区的通知》执行；禁燃区内禁止新建、改建、扩建燃用高污染燃料的锅炉、窑炉、炉灶等燃烧设施（集中供热锅炉除外）；禁燃区内使用高污染燃料的锅炉、窑炉、炉灶等燃烧设施（集中供热锅炉除外）应在规定期限改用天然气、液化石油气、电或者其他清洁能源；逾期未改用的，不得继续使用。禁燃区内禁止销售高污染燃料。</w:t>
            </w:r>
          </w:p>
        </w:tc>
        <w:tc>
          <w:tcPr>
            <w:tcW w:w="927" w:type="pct"/>
            <w:vMerge w:val="continue"/>
          </w:tcPr>
          <w:p>
            <w:pPr>
              <w:widowControl/>
              <w:jc w:val="left"/>
              <w:rPr>
                <w:rFonts w:ascii="Times New Roman" w:hAnsi="Times New Roman" w:eastAsia="仿宋" w:cs="Times New Roman"/>
                <w:b/>
                <w:bCs/>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ZH22242620008</w:t>
            </w:r>
          </w:p>
        </w:tc>
        <w:tc>
          <w:tcPr>
            <w:tcW w:w="7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吉林省长白山管委会池南经济管理区</w:t>
            </w:r>
          </w:p>
        </w:tc>
        <w:tc>
          <w:tcPr>
            <w:tcW w:w="354" w:type="pct"/>
            <w:vMerge w:val="restart"/>
            <w:shd w:val="clear" w:color="auto" w:fill="auto"/>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2-重点管控</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2严格控制高耗水、高污染行业发展。</w:t>
            </w:r>
          </w:p>
        </w:tc>
        <w:tc>
          <w:tcPr>
            <w:tcW w:w="927" w:type="pct"/>
            <w:vMerge w:val="restart"/>
          </w:tcPr>
          <w:p>
            <w:pPr>
              <w:jc w:val="left"/>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大气环境受体敏感重点管控区、水环境城镇生活污染重点管控区、抚松-二道白河矿泉水重点矿区、高污染燃料禁燃区</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生态旅游产业、现代服务产业</w:t>
            </w:r>
            <w:r>
              <w:rPr>
                <w:rFonts w:hint="eastAsia" w:ascii="Times New Roman" w:hAnsi="Times New Roman" w:eastAsia="仿宋" w:cs="Times New Roman"/>
                <w:sz w:val="20"/>
                <w:szCs w:val="20"/>
              </w:rPr>
              <w:t>、康养度假、体育运动和文化旅游、特色资源产业</w:t>
            </w:r>
          </w:p>
          <w:p>
            <w:pPr>
              <w:widowControl/>
              <w:jc w:val="left"/>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16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color w:val="FF0000"/>
                <w:sz w:val="20"/>
                <w:szCs w:val="21"/>
              </w:rPr>
            </w:pPr>
            <w:r>
              <w:rPr>
                <w:rFonts w:ascii="Times New Roman" w:hAnsi="Times New Roman" w:eastAsia="仿宋" w:cs="Times New Roman"/>
                <w:kern w:val="0"/>
                <w:sz w:val="20"/>
                <w:szCs w:val="20"/>
              </w:rPr>
              <w:t>2城市建成区原则上不再新建每小时35蒸吨以下燃煤锅炉。</w:t>
            </w:r>
          </w:p>
        </w:tc>
        <w:tc>
          <w:tcPr>
            <w:tcW w:w="927" w:type="pct"/>
            <w:vMerge w:val="continue"/>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长白山管委会办公室关于划定长白山保护开发区高污染燃料禁燃区的通知》执行；禁燃区内禁止新建、改建、扩建燃用高污染燃料的锅炉、窑炉、炉灶等燃烧设施（集中供热锅炉除外）；禁燃区内使用高污染燃料的锅炉、窑炉、炉灶等燃烧设施（集中供热锅炉除外）应在规定期限改用天然气、液化石油气、电或者其他清洁能源；逾期未改用的，不得继续使用。禁燃区内禁止销售高污染燃料。</w:t>
            </w:r>
          </w:p>
        </w:tc>
        <w:tc>
          <w:tcPr>
            <w:tcW w:w="927" w:type="pct"/>
            <w:vMerge w:val="continue"/>
          </w:tcPr>
          <w:p>
            <w:pPr>
              <w:widowControl/>
              <w:jc w:val="left"/>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ZH22242620009</w:t>
            </w:r>
          </w:p>
        </w:tc>
        <w:tc>
          <w:tcPr>
            <w:tcW w:w="705" w:type="pct"/>
            <w:vMerge w:val="restart"/>
            <w:shd w:val="clear" w:color="auto" w:fill="auto"/>
            <w:noWrap/>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吉林省长白山管委会池北经济管理区</w:t>
            </w:r>
          </w:p>
        </w:tc>
        <w:tc>
          <w:tcPr>
            <w:tcW w:w="354" w:type="pct"/>
            <w:vMerge w:val="restart"/>
            <w:shd w:val="clear" w:color="auto" w:fill="auto"/>
            <w:noWrap/>
            <w:vAlign w:val="center"/>
          </w:tcPr>
          <w:p>
            <w:pPr>
              <w:widowControl/>
              <w:jc w:val="left"/>
              <w:rPr>
                <w:rFonts w:ascii="Times New Roman" w:hAnsi="Times New Roman" w:eastAsia="仿宋" w:cs="Times New Roman"/>
                <w:color w:val="FF0000"/>
                <w:sz w:val="20"/>
                <w:szCs w:val="20"/>
              </w:rPr>
            </w:pPr>
            <w:r>
              <w:rPr>
                <w:rFonts w:ascii="Times New Roman" w:hAnsi="Times New Roman" w:eastAsia="仿宋" w:cs="Times New Roman"/>
                <w:kern w:val="0"/>
                <w:sz w:val="20"/>
                <w:szCs w:val="20"/>
              </w:rPr>
              <w:t>2-重点管控</w:t>
            </w:r>
          </w:p>
        </w:tc>
        <w:tc>
          <w:tcPr>
            <w:tcW w:w="417" w:type="pct"/>
            <w:vAlign w:val="center"/>
          </w:tcPr>
          <w:p>
            <w:pPr>
              <w:widowControl/>
              <w:jc w:val="left"/>
              <w:rPr>
                <w:rFonts w:ascii="Times New Roman" w:hAnsi="Times New Roman" w:eastAsia="仿宋" w:cs="Times New Roman"/>
                <w:kern w:val="0"/>
                <w:sz w:val="20"/>
                <w:szCs w:val="20"/>
              </w:rPr>
            </w:pPr>
            <w:r>
              <w:rPr>
                <w:rFonts w:ascii="Times New Roman" w:hAnsi="Times New Roman" w:eastAsia="仿宋" w:cs="Times New Roman"/>
                <w:kern w:val="0"/>
                <w:sz w:val="20"/>
                <w:szCs w:val="20"/>
              </w:rPr>
              <w:t>空间布局约束</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1除在安全或者产业布局等方面有特殊要求的项目外，原则上应避免大规模排放大气污染物的项目布局建设。</w:t>
            </w:r>
          </w:p>
          <w:p>
            <w:pPr>
              <w:widowControl/>
              <w:jc w:val="left"/>
              <w:rPr>
                <w:rFonts w:ascii="Times New Roman" w:hAnsi="Times New Roman" w:eastAsia="仿宋" w:cs="Times New Roman"/>
                <w:kern w:val="0"/>
                <w:sz w:val="20"/>
                <w:szCs w:val="20"/>
              </w:rPr>
            </w:pPr>
            <w:r>
              <w:rPr>
                <w:rFonts w:ascii="Times New Roman" w:hAnsi="Times New Roman" w:eastAsia="仿宋" w:cs="Times New Roman"/>
                <w:sz w:val="20"/>
                <w:szCs w:val="20"/>
              </w:rPr>
              <w:t>2严格控制高耗水、高污染行业发展。</w:t>
            </w:r>
          </w:p>
        </w:tc>
        <w:tc>
          <w:tcPr>
            <w:tcW w:w="927" w:type="pct"/>
            <w:vMerge w:val="restart"/>
            <w:vAlign w:val="center"/>
          </w:tcPr>
          <w:p>
            <w:pPr>
              <w:rPr>
                <w:rFonts w:ascii="Times New Roman" w:hAnsi="Times New Roman" w:eastAsia="仿宋" w:cs="Times New Roman"/>
                <w:kern w:val="0"/>
                <w:sz w:val="20"/>
                <w:szCs w:val="20"/>
              </w:rPr>
            </w:pPr>
            <w:r>
              <w:rPr>
                <w:rFonts w:ascii="Times New Roman" w:hAnsi="Times New Roman" w:eastAsia="仿宋" w:cs="Times New Roman"/>
                <w:b/>
                <w:kern w:val="0"/>
                <w:sz w:val="20"/>
                <w:szCs w:val="20"/>
              </w:rPr>
              <w:t>要素分区：</w:t>
            </w:r>
            <w:r>
              <w:rPr>
                <w:rFonts w:ascii="Times New Roman" w:hAnsi="Times New Roman" w:eastAsia="仿宋" w:cs="Times New Roman"/>
                <w:kern w:val="0"/>
                <w:sz w:val="20"/>
                <w:szCs w:val="20"/>
              </w:rPr>
              <w:t>大气环境受体敏感重点管控区、水环境城镇生活污染重点管控区、抚松-二道白河矿泉水重点矿区、高污染燃料禁燃区</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主导产业：</w:t>
            </w:r>
            <w:r>
              <w:rPr>
                <w:rFonts w:ascii="Times New Roman" w:hAnsi="Times New Roman" w:eastAsia="仿宋" w:cs="Times New Roman"/>
                <w:sz w:val="20"/>
                <w:szCs w:val="20"/>
              </w:rPr>
              <w:t>生态旅游产业、文化创意产业、生态健康产业</w:t>
            </w:r>
            <w:r>
              <w:rPr>
                <w:rFonts w:hint="eastAsia" w:ascii="Times New Roman" w:hAnsi="Times New Roman" w:eastAsia="仿宋" w:cs="Times New Roman"/>
                <w:sz w:val="20"/>
                <w:szCs w:val="20"/>
              </w:rPr>
              <w:t>、特色生态资源、特色商贸等产业</w:t>
            </w:r>
          </w:p>
          <w:p>
            <w:pPr>
              <w:widowControl/>
              <w:rPr>
                <w:rFonts w:ascii="Times New Roman" w:hAnsi="Times New Roman" w:eastAsia="仿宋" w:cs="Times New Roman"/>
                <w:sz w:val="20"/>
                <w:szCs w:val="20"/>
              </w:rPr>
            </w:pPr>
            <w:r>
              <w:rPr>
                <w:rFonts w:ascii="Times New Roman" w:hAnsi="Times New Roman" w:eastAsia="仿宋" w:cs="Times New Roman"/>
                <w:b/>
                <w:bCs/>
                <w:sz w:val="20"/>
                <w:szCs w:val="20"/>
              </w:rPr>
              <w:t>依据：</w:t>
            </w:r>
            <w:r>
              <w:rPr>
                <w:rFonts w:ascii="Times New Roman" w:hAnsi="Times New Roman" w:eastAsia="仿宋" w:cs="Times New Roman"/>
                <w:sz w:val="20"/>
                <w:szCs w:val="20"/>
              </w:rPr>
              <w:t>基于“三线”研究成果提出。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kern w:val="0"/>
                <w:sz w:val="20"/>
                <w:szCs w:val="20"/>
              </w:rPr>
              <w:t>污染物排放管控</w:t>
            </w:r>
          </w:p>
        </w:tc>
        <w:tc>
          <w:tcPr>
            <w:tcW w:w="2163" w:type="pct"/>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1加大燃煤锅炉达标排放监管力度，推进清洁燃料供应体系建设，加快淘汰老旧车辆，加强城区建筑施工场所扬尘污染整治，</w:t>
            </w:r>
            <w:r>
              <w:rPr>
                <w:rFonts w:hint="eastAsia" w:ascii="Times New Roman" w:hAnsi="Times New Roman" w:eastAsia="仿宋" w:cs="Times New Roman"/>
                <w:kern w:val="0"/>
                <w:sz w:val="20"/>
                <w:szCs w:val="20"/>
              </w:rPr>
              <w:t>加强对餐饮服务业油烟污染监管</w:t>
            </w:r>
            <w:r>
              <w:rPr>
                <w:rFonts w:ascii="Times New Roman" w:hAnsi="Times New Roman" w:eastAsia="仿宋" w:cs="Times New Roman"/>
                <w:kern w:val="0"/>
                <w:sz w:val="20"/>
                <w:szCs w:val="20"/>
              </w:rPr>
              <w:t>，强化对加油站、储油库、油罐车等油气回收设施运行监管。</w:t>
            </w:r>
          </w:p>
          <w:p>
            <w:pPr>
              <w:widowControl/>
              <w:rPr>
                <w:rFonts w:ascii="Times New Roman" w:hAnsi="Times New Roman" w:eastAsia="仿宋" w:cs="Times New Roman"/>
                <w:color w:val="FF0000"/>
                <w:sz w:val="20"/>
                <w:szCs w:val="21"/>
              </w:rPr>
            </w:pPr>
            <w:r>
              <w:rPr>
                <w:rFonts w:ascii="Times New Roman" w:hAnsi="Times New Roman" w:eastAsia="仿宋" w:cs="Times New Roman"/>
                <w:kern w:val="0"/>
                <w:sz w:val="20"/>
                <w:szCs w:val="20"/>
              </w:rPr>
              <w:t>2城市建成区原则上不再新建每小时35蒸吨以下燃煤锅炉。</w:t>
            </w:r>
          </w:p>
        </w:tc>
        <w:tc>
          <w:tcPr>
            <w:tcW w:w="927" w:type="pct"/>
            <w:vMerge w:val="continue"/>
            <w:vAlign w:val="center"/>
          </w:tcPr>
          <w:p>
            <w:pPr>
              <w:widowControl/>
              <w:rPr>
                <w:rFonts w:ascii="Times New Roman" w:hAnsi="Times New Roman" w:eastAsia="仿宋" w:cs="Times New Roman"/>
                <w:b/>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31"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705"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354" w:type="pct"/>
            <w:vMerge w:val="continue"/>
            <w:shd w:val="clear" w:color="auto" w:fill="auto"/>
            <w:noWrap/>
            <w:vAlign w:val="center"/>
          </w:tcPr>
          <w:p>
            <w:pPr>
              <w:widowControl/>
              <w:jc w:val="left"/>
              <w:rPr>
                <w:rFonts w:ascii="Times New Roman" w:hAnsi="Times New Roman" w:eastAsia="仿宋" w:cs="Times New Roman"/>
                <w:kern w:val="0"/>
                <w:sz w:val="20"/>
                <w:szCs w:val="20"/>
              </w:rPr>
            </w:pPr>
          </w:p>
        </w:tc>
        <w:tc>
          <w:tcPr>
            <w:tcW w:w="417"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资源开发效率</w:t>
            </w:r>
          </w:p>
        </w:tc>
        <w:tc>
          <w:tcPr>
            <w:tcW w:w="2163" w:type="pct"/>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禁燃区内禁止燃用的高污染燃料按照《长白山管委会办公室关于划定长白山保护开发区高污染燃料禁燃区的通知》执行；禁燃区内禁止新建、改建、扩建燃用高污染燃料的锅炉、窑炉、炉灶等燃烧设施（集中供热锅炉除外）；禁燃区内使用高污染燃料的锅炉、窑炉、炉灶等燃烧设施（集中供热锅炉除外）应在规定期限改用天然气、液化石油气、电或者其他清洁能源；逾期未改用的，不得继续使用。禁燃区内禁止销售高污染燃料。</w:t>
            </w:r>
          </w:p>
        </w:tc>
        <w:tc>
          <w:tcPr>
            <w:tcW w:w="927" w:type="pct"/>
            <w:vMerge w:val="continue"/>
          </w:tcPr>
          <w:p>
            <w:pPr>
              <w:widowControl/>
              <w:jc w:val="left"/>
              <w:rPr>
                <w:rFonts w:ascii="Times New Roman" w:hAnsi="Times New Roman" w:eastAsia="仿宋" w:cs="Times New Roman"/>
                <w:b/>
                <w:bCs/>
                <w:sz w:val="20"/>
                <w:szCs w:val="20"/>
              </w:rPr>
            </w:pPr>
          </w:p>
        </w:tc>
      </w:tr>
    </w:tbl>
    <w:p>
      <w:pPr>
        <w:jc w:val="center"/>
        <w:rPr>
          <w:rFonts w:ascii="Times New Roman" w:hAnsi="Times New Roman" w:eastAsia="仿宋" w:cs="Times New Roman"/>
          <w:b/>
          <w:color w:val="FF0000"/>
          <w:kern w:val="0"/>
          <w:sz w:val="24"/>
          <w:szCs w:val="24"/>
        </w:rPr>
      </w:pPr>
    </w:p>
    <w:p>
      <w:pPr>
        <w:keepNext/>
        <w:keepLines/>
        <w:spacing w:before="260" w:after="260"/>
        <w:outlineLvl w:val="1"/>
        <w:rPr>
          <w:rFonts w:ascii="Times New Roman" w:hAnsi="Times New Roman" w:eastAsia="仿宋" w:cs="Times New Roman"/>
          <w:b/>
          <w:bCs/>
          <w:sz w:val="32"/>
          <w:szCs w:val="32"/>
        </w:rPr>
      </w:pPr>
      <w:bookmarkStart w:id="154" w:name="_Toc23785"/>
      <w:r>
        <w:rPr>
          <w:rFonts w:ascii="Times New Roman" w:hAnsi="Times New Roman" w:eastAsia="仿宋" w:cs="Times New Roman"/>
          <w:b/>
          <w:bCs/>
          <w:sz w:val="32"/>
          <w:szCs w:val="32"/>
        </w:rPr>
        <w:t>（六十一） 梅河口市生态环境准入清单</w:t>
      </w:r>
      <w:bookmarkEnd w:id="154"/>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表4-60-1 梅河口市区域特征研判</w:t>
      </w:r>
    </w:p>
    <w:tbl>
      <w:tblPr>
        <w:tblStyle w:val="2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2"/>
        <w:gridCol w:w="7885"/>
        <w:gridCol w:w="3943"/>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区位特点</w:t>
            </w:r>
          </w:p>
        </w:tc>
        <w:tc>
          <w:tcPr>
            <w:tcW w:w="1864"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发展定位与目标</w:t>
            </w:r>
          </w:p>
        </w:tc>
        <w:tc>
          <w:tcPr>
            <w:tcW w:w="932"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区域突出的生态环境问题</w:t>
            </w:r>
          </w:p>
        </w:tc>
        <w:tc>
          <w:tcPr>
            <w:tcW w:w="1089" w:type="pct"/>
          </w:tcPr>
          <w:p>
            <w:pPr>
              <w:jc w:val="center"/>
              <w:rPr>
                <w:rFonts w:ascii="Times New Roman" w:hAnsi="Times New Roman" w:eastAsia="仿宋" w:cs="Times New Roman"/>
                <w:b/>
                <w:kern w:val="0"/>
                <w:szCs w:val="21"/>
              </w:rPr>
            </w:pPr>
            <w:r>
              <w:rPr>
                <w:rFonts w:ascii="Times New Roman" w:hAnsi="Times New Roman" w:eastAsia="仿宋" w:cs="Times New Roman"/>
                <w:b/>
                <w:kern w:val="0"/>
                <w:szCs w:val="21"/>
              </w:rPr>
              <w:t>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4" w:type="pct"/>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1.《吉林省主体功能区规划》中的农产品主产区。</w:t>
            </w:r>
          </w:p>
          <w:p>
            <w:pPr>
              <w:rPr>
                <w:rFonts w:ascii="Times New Roman" w:hAnsi="Times New Roman" w:eastAsia="仿宋" w:cs="Times New Roman"/>
                <w:kern w:val="0"/>
                <w:szCs w:val="21"/>
              </w:rPr>
            </w:pPr>
            <w:r>
              <w:rPr>
                <w:rFonts w:ascii="Times New Roman" w:hAnsi="Times New Roman" w:eastAsia="仿宋" w:cs="Times New Roman"/>
                <w:kern w:val="0"/>
                <w:szCs w:val="21"/>
              </w:rPr>
              <w:t>2. 位于吉林省东南部、通化市北部、长白山西麓、辉发河上游，地处松辽平原与长白山区的过渡地带，总面积2178.89平方千米。辖5个街道、</w:t>
            </w:r>
            <w:r>
              <w:rPr>
                <w:rFonts w:hint="eastAsia" w:ascii="Times New Roman" w:hAnsi="Times New Roman" w:eastAsia="仿宋" w:cs="Times New Roman"/>
                <w:kern w:val="0"/>
                <w:szCs w:val="21"/>
              </w:rPr>
              <w:t>16</w:t>
            </w:r>
            <w:r>
              <w:rPr>
                <w:rFonts w:ascii="Times New Roman" w:hAnsi="Times New Roman" w:eastAsia="仿宋" w:cs="Times New Roman"/>
                <w:kern w:val="0"/>
                <w:szCs w:val="21"/>
              </w:rPr>
              <w:t>个镇、</w:t>
            </w:r>
            <w:r>
              <w:rPr>
                <w:rFonts w:hint="eastAsia" w:ascii="Times New Roman" w:hAnsi="Times New Roman" w:eastAsia="仿宋" w:cs="Times New Roman"/>
                <w:kern w:val="0"/>
                <w:szCs w:val="21"/>
              </w:rPr>
              <w:t>3</w:t>
            </w:r>
            <w:r>
              <w:rPr>
                <w:rFonts w:ascii="Times New Roman" w:hAnsi="Times New Roman" w:eastAsia="仿宋" w:cs="Times New Roman"/>
                <w:kern w:val="0"/>
                <w:szCs w:val="21"/>
              </w:rPr>
              <w:t>个乡、1个省级开发区。</w:t>
            </w:r>
          </w:p>
        </w:tc>
        <w:tc>
          <w:tcPr>
            <w:tcW w:w="1864" w:type="pct"/>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精心打造主导产业特色鲜明、人口集聚能力较强、综合经济实力雄厚、区域职能作用重要的经济增长极，成为中等城市、东部地区重要的经济支点，建设成为“卫生城、文明城、生态城、园林城”。（来源：东部绿色转型发展区总体规划）</w:t>
            </w:r>
          </w:p>
          <w:p>
            <w:pPr>
              <w:rPr>
                <w:rFonts w:ascii="Times New Roman" w:hAnsi="Times New Roman" w:eastAsia="仿宋" w:cs="Times New Roman"/>
                <w:kern w:val="0"/>
                <w:szCs w:val="21"/>
              </w:rPr>
            </w:pPr>
            <w:r>
              <w:rPr>
                <w:rFonts w:ascii="Times New Roman" w:hAnsi="Times New Roman" w:eastAsia="仿宋" w:cs="Times New Roman"/>
                <w:kern w:val="0"/>
                <w:szCs w:val="21"/>
              </w:rPr>
              <w:t>农业现代化实现率先突破，工业结构进一步优化，巩固提升医药健康、食品加工、商贸物流、现代服务业等主导产业，发展壮大战略性新兴产业。服务业发展水平显著提高。形成多产业支撑、多极化发展的格局。</w:t>
            </w:r>
          </w:p>
          <w:p>
            <w:pPr>
              <w:rPr>
                <w:rFonts w:ascii="Times New Roman" w:hAnsi="Times New Roman" w:eastAsia="仿宋" w:cs="Times New Roman"/>
                <w:kern w:val="0"/>
                <w:szCs w:val="21"/>
              </w:rPr>
            </w:pPr>
            <w:r>
              <w:rPr>
                <w:rFonts w:ascii="Times New Roman" w:hAnsi="Times New Roman" w:eastAsia="仿宋" w:cs="Times New Roman"/>
                <w:kern w:val="0"/>
                <w:szCs w:val="21"/>
              </w:rPr>
              <w:t>围绕建设现代农业产业体系、现代农业生产体系、现代农业经营体系，以打造国家现代特色农业核心示范区、中国最具特色黑土地农业基地、亚洲最大的食品酒精生产基地、亚洲最大的树生果仁加工集散地和东北亚地区重要的农产品国际物流港为发展定位，重点发展绿色安全粮食、优质“菜篮子”、标准化规模养殖、现代水产养殖、农特产品精深加工和休闲农业六大主导产业。</w:t>
            </w:r>
          </w:p>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以打造吉林省医药健康产业示范区为目标，突出集群化发展，打造医药健康产业园。依托国家火炬梅河口现代中医药特色产业基地（国家级）、吉林省梅河口医药高新技术特色产业基地，全力打造集医药科技研发、中医药企业孵化、医药生产、医药商贸物流、中药材种植基地等完整的医药产业集群、国家级长白山医药健康基地。</w:t>
            </w:r>
          </w:p>
        </w:tc>
        <w:tc>
          <w:tcPr>
            <w:tcW w:w="932" w:type="pct"/>
            <w:vAlign w:val="center"/>
          </w:tcPr>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水环境质量需要持续改善；水土流失。</w:t>
            </w:r>
          </w:p>
        </w:tc>
        <w:tc>
          <w:tcPr>
            <w:tcW w:w="1089" w:type="pct"/>
            <w:vAlign w:val="center"/>
          </w:tcPr>
          <w:p>
            <w:pPr>
              <w:rPr>
                <w:rFonts w:ascii="Times New Roman" w:hAnsi="Times New Roman" w:eastAsia="仿宋" w:cs="Times New Roman"/>
                <w:kern w:val="0"/>
                <w:szCs w:val="21"/>
              </w:rPr>
            </w:pPr>
            <w:r>
              <w:rPr>
                <w:rFonts w:ascii="Times New Roman" w:hAnsi="Times New Roman" w:eastAsia="仿宋" w:cs="Times New Roman"/>
                <w:kern w:val="0"/>
                <w:szCs w:val="21"/>
              </w:rPr>
              <w:t>1.重点保护</w:t>
            </w:r>
          </w:p>
          <w:p>
            <w:pPr>
              <w:rPr>
                <w:rFonts w:ascii="Times New Roman" w:hAnsi="Times New Roman" w:eastAsia="仿宋" w:cs="Times New Roman"/>
                <w:kern w:val="0"/>
                <w:szCs w:val="21"/>
              </w:rPr>
            </w:pPr>
            <w:r>
              <w:rPr>
                <w:rFonts w:ascii="Times New Roman" w:hAnsi="Times New Roman" w:eastAsia="仿宋" w:cs="Times New Roman"/>
                <w:kern w:val="0"/>
                <w:szCs w:val="21"/>
              </w:rPr>
              <w:t>吉林鸡冠山国家森林公园、吉林磨盘湖国家湿地自然公园、吉林梅河口帽沟省级湿地公园、梅河口市海龙水库饮用水水源保护区、黑土地资源</w:t>
            </w:r>
          </w:p>
          <w:p>
            <w:pPr>
              <w:rPr>
                <w:rFonts w:ascii="Times New Roman" w:hAnsi="Times New Roman" w:eastAsia="仿宋" w:cs="Times New Roman"/>
                <w:kern w:val="0"/>
                <w:szCs w:val="21"/>
              </w:rPr>
            </w:pPr>
            <w:r>
              <w:rPr>
                <w:rFonts w:ascii="Times New Roman" w:hAnsi="Times New Roman" w:eastAsia="仿宋" w:cs="Times New Roman"/>
                <w:kern w:val="0"/>
                <w:szCs w:val="21"/>
              </w:rPr>
              <w:t>2.重点解决问题</w:t>
            </w:r>
          </w:p>
          <w:p>
            <w:pPr>
              <w:rPr>
                <w:rFonts w:ascii="Times New Roman" w:hAnsi="Times New Roman" w:eastAsia="仿宋" w:cs="Times New Roman"/>
                <w:kern w:val="0"/>
                <w:szCs w:val="21"/>
              </w:rPr>
            </w:pPr>
            <w:r>
              <w:rPr>
                <w:rFonts w:ascii="Times New Roman" w:hAnsi="Times New Roman" w:eastAsia="仿宋" w:cs="Times New Roman"/>
                <w:kern w:val="0"/>
                <w:szCs w:val="21"/>
              </w:rPr>
              <w:t>（1）改善区域水环境。</w:t>
            </w:r>
          </w:p>
          <w:p>
            <w:pPr>
              <w:rPr>
                <w:rFonts w:ascii="Times New Roman" w:hAnsi="Times New Roman" w:eastAsia="仿宋" w:cs="Times New Roman"/>
                <w:color w:val="FF0000"/>
                <w:kern w:val="0"/>
                <w:szCs w:val="21"/>
              </w:rPr>
            </w:pPr>
            <w:r>
              <w:rPr>
                <w:rFonts w:ascii="Times New Roman" w:hAnsi="Times New Roman" w:eastAsia="仿宋" w:cs="Times New Roman"/>
                <w:kern w:val="0"/>
                <w:szCs w:val="21"/>
              </w:rPr>
              <w:t>（2）加强水土流失预防和治理。</w:t>
            </w:r>
          </w:p>
        </w:tc>
      </w:tr>
    </w:tbl>
    <w:p>
      <w:pPr>
        <w:jc w:val="center"/>
        <w:rPr>
          <w:rFonts w:ascii="Times New Roman" w:hAnsi="Times New Roman" w:eastAsia="仿宋" w:cs="Times New Roman"/>
          <w:b/>
          <w:color w:val="FF0000"/>
          <w:kern w:val="0"/>
          <w:sz w:val="24"/>
          <w:szCs w:val="24"/>
        </w:rPr>
      </w:pPr>
    </w:p>
    <w:p>
      <w:pPr>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表4-60-2 梅河口市生态环境准入清单</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2107"/>
        <w:gridCol w:w="1743"/>
        <w:gridCol w:w="1963"/>
        <w:gridCol w:w="9326"/>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环境管控单元编码</w:t>
            </w:r>
          </w:p>
        </w:tc>
        <w:tc>
          <w:tcPr>
            <w:tcW w:w="498" w:type="pct"/>
            <w:shd w:val="clear" w:color="auto" w:fill="auto"/>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环境管控单元名称</w:t>
            </w:r>
          </w:p>
        </w:tc>
        <w:tc>
          <w:tcPr>
            <w:tcW w:w="412" w:type="pct"/>
            <w:shd w:val="clear" w:color="auto" w:fill="auto"/>
            <w:vAlign w:val="center"/>
          </w:tcPr>
          <w:p>
            <w:pPr>
              <w:widowControl/>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管控单元分类</w:t>
            </w:r>
          </w:p>
        </w:tc>
        <w:tc>
          <w:tcPr>
            <w:tcW w:w="464"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管控类型</w:t>
            </w:r>
          </w:p>
        </w:tc>
        <w:tc>
          <w:tcPr>
            <w:tcW w:w="2204"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管控要求</w:t>
            </w:r>
          </w:p>
        </w:tc>
        <w:tc>
          <w:tcPr>
            <w:tcW w:w="935" w:type="pct"/>
            <w:shd w:val="clear" w:color="auto" w:fill="auto"/>
            <w:vAlign w:val="center"/>
          </w:tcPr>
          <w:p>
            <w:pPr>
              <w:jc w:val="center"/>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编制依据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ZH22058110001</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吉林鸡冠山国家森林公园</w:t>
            </w:r>
          </w:p>
        </w:tc>
        <w:tc>
          <w:tcPr>
            <w:tcW w:w="412"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2生态保护红线内国家级森林公园执行《国家级自然公园管理办法（试行）》相关要求。</w:t>
            </w:r>
          </w:p>
        </w:tc>
        <w:tc>
          <w:tcPr>
            <w:tcW w:w="935" w:type="pc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生态保护红线</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szCs w:val="21"/>
              </w:rPr>
              <w:t>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ZH22058110002</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吉林磨盘湖国家湿地自然公园</w:t>
            </w:r>
          </w:p>
        </w:tc>
        <w:tc>
          <w:tcPr>
            <w:tcW w:w="412"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3生态保护红线内饮用水水源保护区执行《中华人民共和国水污染防治法》《饮用水水源保护区污染防治管理规定》《吉林省城镇饮用水水源保护条例》相关要求。</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生态保护红线、水环境优先保护区</w:t>
            </w:r>
          </w:p>
          <w:p>
            <w:pPr>
              <w:jc w:val="left"/>
              <w:rPr>
                <w:rFonts w:ascii="Times New Roman" w:hAnsi="Times New Roman" w:eastAsia="仿宋" w:cs="Times New Roman"/>
                <w:b/>
                <w:color w:val="FF0000"/>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湿地公园、饮用水水源保护区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ZH22058110003</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吉林梅河口帽沟省级湿地公园</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2生态保护红线内湿地公园执行《中华人民共和国湿地保护法》《湿地保护管理规定》</w:t>
            </w:r>
            <w:r>
              <w:rPr>
                <w:rFonts w:hint="eastAsia" w:ascii="Times New Roman" w:hAnsi="Times New Roman" w:eastAsia="仿宋" w:cs="Times New Roman"/>
                <w:sz w:val="20"/>
                <w:szCs w:val="21"/>
              </w:rPr>
              <w:t>《国家级自然公园管理办法（试行）》</w:t>
            </w:r>
            <w:r>
              <w:rPr>
                <w:rFonts w:ascii="Times New Roman" w:hAnsi="Times New Roman" w:eastAsia="仿宋" w:cs="Times New Roman"/>
                <w:sz w:val="20"/>
                <w:szCs w:val="21"/>
              </w:rPr>
              <w:t>《吉林省湿地保护条例》《关于特别是作为水禽栖息地的国际重要湿地公约》相关要求。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3生态保护红线内饮用水水源保护区执行《中华人民共和国水污染防治法》《饮用水水源保护区污染防治管理规定》《吉林省城镇饮用水水源保护条例》相关要求。</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生态保护红线、水环境优先保护区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湿地公园、饮用水水源保护区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ZH22058110004</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梅河口市海龙水库饮用水水源保护区</w:t>
            </w:r>
          </w:p>
        </w:tc>
        <w:tc>
          <w:tcPr>
            <w:tcW w:w="412"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要素分区：</w:t>
            </w:r>
            <w:r>
              <w:rPr>
                <w:rFonts w:ascii="Times New Roman" w:hAnsi="Times New Roman" w:eastAsia="仿宋" w:cs="Times New Roman"/>
                <w:kern w:val="0"/>
                <w:sz w:val="20"/>
                <w:szCs w:val="21"/>
              </w:rPr>
              <w:t>一般生态空间、水环境优先保护区、农用地优先保护区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bCs/>
                <w:kern w:val="0"/>
                <w:sz w:val="20"/>
                <w:szCs w:val="21"/>
              </w:rPr>
              <w:t>保护对象：</w:t>
            </w:r>
            <w:r>
              <w:rPr>
                <w:rFonts w:ascii="Times New Roman" w:hAnsi="Times New Roman" w:eastAsia="仿宋" w:cs="Times New Roman"/>
                <w:kern w:val="0"/>
                <w:sz w:val="20"/>
                <w:szCs w:val="21"/>
              </w:rPr>
              <w:t>饮用水水源保护区、黑土地保护区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ZH22058110005</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赵家街水库生活饮用水水源保护区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一般生态空间、水环境优先保护区、农用地优先保护区</w:t>
            </w:r>
          </w:p>
          <w:p>
            <w:pPr>
              <w:jc w:val="left"/>
              <w:rPr>
                <w:rFonts w:ascii="Times New Roman" w:hAnsi="Times New Roman" w:eastAsia="仿宋" w:cs="Times New Roman"/>
                <w:b/>
                <w:color w:val="FF0000"/>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饮用水水源保护区、黑土地保护区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ZH22058110006</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柳河水库生活饮用水水源保护区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2饮用水水源保护区执行《中华人民共和国水污染防治法》《饮用水水源保护区污染防治管理规定》《吉林省城镇饮用水水源保护条例》相关要求。</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一般生态空间、水环境优先保护区</w:t>
            </w:r>
          </w:p>
          <w:p>
            <w:pPr>
              <w:jc w:val="left"/>
              <w:rPr>
                <w:rFonts w:ascii="Times New Roman" w:hAnsi="Times New Roman" w:eastAsia="仿宋" w:cs="Times New Roman"/>
                <w:b/>
                <w:color w:val="FF0000"/>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饮用水水源保护区、水源涵养、防风固沙、水土保持、水土流失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ZH22058110007</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梅河口市黑土地保护区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rPr>
              <w:t>农用地优先保护区</w:t>
            </w:r>
          </w:p>
          <w:p>
            <w:pPr>
              <w:jc w:val="left"/>
              <w:rPr>
                <w:rFonts w:ascii="Times New Roman" w:hAnsi="Times New Roman" w:eastAsia="仿宋" w:cs="Times New Roman"/>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sz w:val="20"/>
                <w:szCs w:val="21"/>
              </w:rPr>
              <w:t>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ZH22058110008</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梅河口市水源涵养功能重要区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2禁止各种损害生态系统水源涵养功能的经济社会活动和生产方式，如无序采矿、毁林开荒、湿地和草地开垦、过度放牧等。禁止导致水体污染的产业发展。</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4禁止在沙化土地上砍挖灌木、药材及其他固沙植物。在沙化土地封禁保护区范围内，禁止一切破坏植被的活动。禁止在沙化土地封禁保护区范围内安置移民。</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一般生态空间、农用地优先保护区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水源涵养、防风固沙、水土保持、水土流失、黑土地保护区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ZH22058110009</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梅河口市生物多样性重要区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2禁止生物多样性维护生态功能区的大规模水电开发和林纸一体化产业发展。禁止各种损害栖息地的经济社会活动和生产方式，如无序采矿、毁林开荒、湿地和草地开垦等。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6黑土地保护区执行《吉林省黑土地保护条例》相关要求。开展坡耕地整治和侵蚀沟治理，防治水土流失；实施秸秆还田、增施有机肥、土壤酸化治理等农艺措施，修复农田生态。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一般生态空间、农用地优先保护区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生物多样性、水土保持、黑土地保护区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ZH22058110010</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梅河口市水土保持功能生态保护红线</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1原则上按禁止开发区域的要求进行管理，执行</w:t>
            </w:r>
            <w:r>
              <w:rPr>
                <w:rFonts w:hint="eastAsia" w:ascii="Times New Roman" w:hAnsi="Times New Roman" w:eastAsia="仿宋" w:cs="Times New Roman"/>
                <w:sz w:val="20"/>
                <w:szCs w:val="21"/>
              </w:rPr>
              <w:t>《自然资源部 生态环境部 国家林业和草原局关于加强生态保护红线管理的通知（试行）》《吉林省生态保护红线监管办法（试行）》</w:t>
            </w:r>
            <w:r>
              <w:rPr>
                <w:rFonts w:ascii="Times New Roman" w:hAnsi="Times New Roman" w:eastAsia="仿宋" w:cs="Times New Roman"/>
                <w:sz w:val="20"/>
                <w:szCs w:val="21"/>
              </w:rPr>
              <w:t>中相关要求。</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2生态保护红线内饮用水水源保护区执行《中华人民共和国水污染防治法》《饮用水水源保护区污染防治管理规定》《吉林省城镇饮用水水源保护条例》相关要求。</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生态保护红线、水环境优先保护区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水土保持、饮用水水源保护区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ZH22058110011</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梅河口市水土保持功能重要区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一般生态空间、农用地优先保护区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水土保持、黑土地保护区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ZH22058110012</w:t>
            </w:r>
          </w:p>
        </w:tc>
        <w:tc>
          <w:tcPr>
            <w:tcW w:w="498"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梅河口市水土流失敏感区</w:t>
            </w:r>
          </w:p>
        </w:tc>
        <w:tc>
          <w:tcPr>
            <w:tcW w:w="412" w:type="pct"/>
            <w:shd w:val="clear" w:color="auto" w:fill="auto"/>
            <w:vAlign w:val="center"/>
          </w:tcPr>
          <w:p>
            <w:pPr>
              <w:widowControl/>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1-优先保护</w:t>
            </w:r>
          </w:p>
        </w:tc>
        <w:tc>
          <w:tcPr>
            <w:tcW w:w="464" w:type="pct"/>
            <w:shd w:val="clear" w:color="auto" w:fill="auto"/>
            <w:vAlign w:val="center"/>
          </w:tcPr>
          <w:p>
            <w:pPr>
              <w:jc w:val="left"/>
              <w:rPr>
                <w:rFonts w:ascii="Times New Roman" w:hAnsi="Times New Roman" w:eastAsia="仿宋" w:cs="Times New Roman"/>
                <w:color w:val="FF000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rPr>
                <w:rFonts w:ascii="Times New Roman" w:hAnsi="Times New Roman" w:eastAsia="仿宋" w:cs="Times New Roman"/>
                <w:sz w:val="20"/>
                <w:szCs w:val="21"/>
              </w:rPr>
            </w:pPr>
            <w:r>
              <w:rPr>
                <w:rFonts w:ascii="Times New Roman" w:hAnsi="Times New Roman" w:eastAsia="仿宋" w:cs="Times New Roman"/>
                <w:sz w:val="20"/>
                <w:szCs w:val="21"/>
              </w:rPr>
              <w:t>1原则上按限制开发区域的要求进行管理。避免开发建设活动损害生态服务功能和生态产品质量。</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2禁止在崩塌、滑坡危险区和泥石流易发区从事取土、挖砂、采石等可能造成水土流失的活动。禁止开垦、开发植物保护带。禁止在二十度以上陡坡地开垦种植农作物，种植人参开垦坡度不得超过二十五度。禁止毁林、毁草开垦。禁止在水土流失重点预防区和重点治理区铲草皮、挖树蔸等。</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3原则上不再新建各类产业园区，严禁随意扩大现有产业园区范围。以工业为主的产业园区应加快完成园区的循环化改造，鼓励推进低消耗、可循环、少排放的生态型工业区建设。</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4</w:t>
            </w:r>
            <w:r>
              <w:rPr>
                <w:rFonts w:hint="eastAsia" w:ascii="Times New Roman" w:hAnsi="Times New Roman" w:eastAsia="仿宋" w:cs="Times New Roman"/>
                <w:sz w:val="20"/>
                <w:szCs w:val="21"/>
              </w:rPr>
              <w:t>区内不符合主体功能定位的的现有产业</w:t>
            </w:r>
            <w:r>
              <w:rPr>
                <w:rFonts w:ascii="Times New Roman" w:hAnsi="Times New Roman" w:eastAsia="仿宋" w:cs="Times New Roman"/>
                <w:sz w:val="20"/>
                <w:szCs w:val="21"/>
              </w:rPr>
              <w:t>，实施搬迁或关闭。对已造成的污染或损害，应限期治理。</w:t>
            </w:r>
          </w:p>
          <w:p>
            <w:pPr>
              <w:widowControl/>
              <w:rPr>
                <w:rFonts w:ascii="Times New Roman" w:hAnsi="Times New Roman" w:eastAsia="仿宋" w:cs="Times New Roman"/>
                <w:sz w:val="20"/>
                <w:szCs w:val="21"/>
              </w:rPr>
            </w:pPr>
            <w:r>
              <w:rPr>
                <w:rFonts w:ascii="Times New Roman" w:hAnsi="Times New Roman" w:eastAsia="仿宋" w:cs="Times New Roman"/>
                <w:sz w:val="20"/>
                <w:szCs w:val="21"/>
              </w:rPr>
              <w:t>5黑土地保护区执行《吉林省黑土地保护条例》相关要求。开展坡耕地整治和侵蚀沟治理，防治水土流失；实施秸秆还田、增施有机肥、土壤酸化治理等农艺措施，修复农田生态。</w:t>
            </w:r>
          </w:p>
        </w:tc>
        <w:tc>
          <w:tcPr>
            <w:tcW w:w="935" w:type="pc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一般生态空间、农用地优先保护区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保护对象：</w:t>
            </w:r>
            <w:r>
              <w:rPr>
                <w:rFonts w:ascii="Times New Roman" w:hAnsi="Times New Roman" w:eastAsia="仿宋" w:cs="Times New Roman"/>
                <w:bCs/>
                <w:kern w:val="0"/>
                <w:sz w:val="20"/>
                <w:szCs w:val="21"/>
              </w:rPr>
              <w:t>水土流失、黑土地保护区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 xml:space="preserve">ZH22058120001 </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吉林梅河口高新技术产业开发区</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2严格控制高耗水、高污染行业发展。</w:t>
            </w:r>
          </w:p>
          <w:p>
            <w:pPr>
              <w:widowControl/>
              <w:jc w:val="left"/>
              <w:rPr>
                <w:rFonts w:ascii="Times New Roman" w:hAnsi="Times New Roman" w:eastAsia="仿宋" w:cs="Times New Roman"/>
                <w:kern w:val="0"/>
                <w:sz w:val="20"/>
                <w:szCs w:val="21"/>
              </w:rPr>
            </w:pPr>
            <w:r>
              <w:rPr>
                <w:rFonts w:ascii="Times New Roman" w:hAnsi="Times New Roman" w:eastAsia="仿宋" w:cs="Times New Roman"/>
                <w:sz w:val="20"/>
                <w:szCs w:val="21"/>
              </w:rPr>
              <w:t>3禁止不符合国家产业政策及大气重污染的项目入区。</w:t>
            </w:r>
          </w:p>
        </w:tc>
        <w:tc>
          <w:tcPr>
            <w:tcW w:w="935" w:type="pct"/>
            <w:vMerge w:val="restar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大气环境高排放重点管控区、水环境工业污染重点管控区、建设用地污染风险重点管控区、高污染燃料禁燃区</w:t>
            </w:r>
          </w:p>
          <w:p>
            <w:pPr>
              <w:jc w:val="left"/>
              <w:rPr>
                <w:rFonts w:ascii="Times New Roman" w:hAnsi="Times New Roman" w:eastAsia="仿宋" w:cs="Times New Roman"/>
                <w:kern w:val="0"/>
                <w:sz w:val="20"/>
                <w:szCs w:val="24"/>
              </w:rPr>
            </w:pPr>
            <w:r>
              <w:rPr>
                <w:rFonts w:ascii="Times New Roman" w:hAnsi="Times New Roman" w:eastAsia="仿宋" w:cs="Times New Roman"/>
                <w:b/>
                <w:kern w:val="0"/>
                <w:sz w:val="20"/>
                <w:szCs w:val="21"/>
              </w:rPr>
              <w:t>主导产业：</w:t>
            </w:r>
            <w:r>
              <w:rPr>
                <w:rFonts w:ascii="Times New Roman" w:hAnsi="Times New Roman" w:eastAsia="仿宋" w:cs="Times New Roman"/>
                <w:bCs/>
                <w:kern w:val="0"/>
                <w:sz w:val="20"/>
                <w:szCs w:val="21"/>
              </w:rPr>
              <w:t>医药、装备制造、食品加工、新材料、新能源、化工、现代物流</w:t>
            </w:r>
          </w:p>
          <w:p>
            <w:pPr>
              <w:jc w:val="left"/>
              <w:rPr>
                <w:rFonts w:ascii="Times New Roman" w:hAnsi="Times New Roman" w:eastAsia="仿宋" w:cs="Times New Roman"/>
                <w:b/>
                <w:color w:val="FF0000"/>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《企业事业单位突发环境事件应急预案备案管理办法（试行）》《中共吉林省委 吉林省人民政府关于深入打好污染防治攻坚战的实施意见》《吉林省减污降碳协同增效实施方案》《吉林省“十四五”节能减排综合实施方案》《吉林省新污染物治理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2重点行业污染治理升级改造，推进各类园区循环化改造。</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3一体推进重点行业大气污染深度治理与节能降碳，推动重点行业、重点领域氮氧化物减排，探索开展大气污染物与温室气体排放协同控制改造提升工程试点。</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4执行《吉林省新污染物治理实施方案》相关要求，加强新污染物多环境介质协同治理，全面强化清洁生产和绿色制造。</w:t>
            </w:r>
          </w:p>
        </w:tc>
        <w:tc>
          <w:tcPr>
            <w:tcW w:w="935" w:type="pct"/>
            <w:vMerge w:val="continue"/>
            <w:shd w:val="clear" w:color="auto" w:fill="auto"/>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环境风险防控</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1严格落实规划环评及其批复文件制定的环境风险防范措施。</w:t>
            </w:r>
          </w:p>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2</w:t>
            </w:r>
            <w:r>
              <w:rPr>
                <w:rFonts w:ascii="Times New Roman" w:hAnsi="Times New Roman" w:eastAsia="仿宋" w:cs="Times New Roman"/>
                <w:kern w:val="0"/>
                <w:sz w:val="20"/>
                <w:szCs w:val="21"/>
              </w:rPr>
              <w:t>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3</w:t>
            </w:r>
            <w:r>
              <w:rPr>
                <w:rFonts w:hint="eastAsia" w:ascii="Times New Roman" w:hAnsi="Times New Roman" w:eastAsia="仿宋" w:cs="Times New Roman"/>
                <w:kern w:val="0"/>
                <w:sz w:val="20"/>
                <w:szCs w:val="21"/>
              </w:rPr>
              <w:t>严格管理涉及易导致环境风险的有毒有害和易燃易爆物质的生产、使用、贮运等新建、改扩建项目</w:t>
            </w:r>
            <w:r>
              <w:rPr>
                <w:rFonts w:ascii="Times New Roman" w:hAnsi="Times New Roman" w:eastAsia="仿宋" w:cs="Times New Roman"/>
                <w:kern w:val="0"/>
                <w:sz w:val="20"/>
                <w:szCs w:val="21"/>
              </w:rPr>
              <w:t>。</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4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5</w:t>
            </w:r>
            <w:r>
              <w:rPr>
                <w:rFonts w:ascii="Times New Roman" w:hAnsi="Times New Roman" w:eastAsia="仿宋" w:cs="Times New Roman"/>
                <w:kern w:val="0"/>
                <w:sz w:val="20"/>
                <w:szCs w:val="21"/>
              </w:rPr>
              <w:t>建立覆盖面广的可视化监控系统、自动监测预警网络、环境风险单位信息库、污染源监控、环境质量监控和图像监控于一体的数字化在线监控中心、建设适用性强的污染物扩散和迁移状况模拟模型、建设信号传输系统可与梅河新区生态环境部门建设实施后实现资源共享。</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禁燃区内禁止燃用的高污染燃料按照《高污染燃料目录》中的第Ⅱ类执行；禁燃区内禁止销售、燃用高污染燃料；禁止新建、改建、扩建任何燃用高污染燃料的项目和设备；禁止使用生物质成型燃料；现有燃用高污染燃料设备在拆除或改造之前，有关单位和个人应当采取措施，确保排放的大气污染物达到国家规定的大气污染物排放标准。</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2积极推进区内供热（汽）管网建设，尽快实现开发区集中供热。在实现开发区集中供热之前，应采用电加热或清洁能源作为过渡热源。园区新建供热设施须执行排放浓度限值。</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3完成吉林省下达的产能置换要求。各产业执行对应的清洁生产标准。</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ZH22058120002</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梅河口市化工园区</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严格落实规划环评及其批复文件环境准入条件</w:t>
            </w:r>
            <w:r>
              <w:rPr>
                <w:rFonts w:ascii="Times New Roman" w:hAnsi="Times New Roman" w:eastAsia="仿宋" w:cs="Times New Roman"/>
                <w:sz w:val="20"/>
                <w:szCs w:val="21"/>
              </w:rPr>
              <w:t>。</w:t>
            </w:r>
          </w:p>
          <w:p>
            <w:pPr>
              <w:widowControl/>
              <w:jc w:val="left"/>
              <w:rPr>
                <w:rFonts w:ascii="Times New Roman" w:hAnsi="Times New Roman" w:eastAsia="仿宋" w:cs="Times New Roman"/>
                <w:kern w:val="0"/>
                <w:sz w:val="20"/>
                <w:szCs w:val="21"/>
              </w:rPr>
            </w:pPr>
            <w:r>
              <w:rPr>
                <w:rFonts w:ascii="Times New Roman" w:hAnsi="Times New Roman" w:eastAsia="仿宋" w:cs="Times New Roman"/>
                <w:sz w:val="20"/>
                <w:szCs w:val="21"/>
              </w:rPr>
              <w:t>2禁止不符合国家产业政策项目入区。</w:t>
            </w:r>
          </w:p>
        </w:tc>
        <w:tc>
          <w:tcPr>
            <w:tcW w:w="935" w:type="pct"/>
            <w:vMerge w:val="restar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大气环境高排放重点管控区、水环境工业污染重点管控区</w:t>
            </w:r>
          </w:p>
          <w:p>
            <w:pPr>
              <w:jc w:val="left"/>
              <w:rPr>
                <w:rFonts w:ascii="Times New Roman" w:hAnsi="Times New Roman" w:eastAsia="仿宋" w:cs="Times New Roman"/>
                <w:b/>
                <w:color w:val="FF0000"/>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《企业事业单位突发环境事件应急预案备案管理办法（试行）》《中共吉林省委 吉林省人民政府关于深入打好污染防治攻坚战的实施意见》《吉林省减污降碳协同增效实施方案》《吉林省“十四五”节能减排综合实施方案》《吉林省新污染物治理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污染物排放管控</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1工业涂装等涉及挥发性有机物排放的行业企业属于控制重点，应推广使用低（无）挥发性有机物含量的原辅材料，安装高效集气装置等措施，提升工艺废气、尾气收集处置率。</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2重点行业污染治理升级改造，推进各类园区循环化改造。</w:t>
            </w:r>
          </w:p>
          <w:p>
            <w:pPr>
              <w:jc w:val="left"/>
              <w:rPr>
                <w:rFonts w:ascii="Times New Roman" w:hAnsi="Times New Roman" w:eastAsia="仿宋" w:cs="Times New Roman"/>
                <w:sz w:val="20"/>
                <w:szCs w:val="21"/>
              </w:rPr>
            </w:pPr>
            <w:r>
              <w:rPr>
                <w:rFonts w:ascii="Times New Roman" w:hAnsi="Times New Roman" w:eastAsia="仿宋" w:cs="Times New Roman"/>
                <w:sz w:val="20"/>
                <w:szCs w:val="21"/>
              </w:rPr>
              <w:t>3一体推进重点行业大气污染深度治理与节能降碳，推动重点行业、重点领域氮氧化物减排，探索开展大气污染物与温室气体排放协同控制改造提升工程试点。</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环境风险防控</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1严格落实规划环评及其批复文件制定的环境风险防范措施。</w:t>
            </w:r>
          </w:p>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2</w:t>
            </w:r>
            <w:r>
              <w:rPr>
                <w:rFonts w:ascii="Times New Roman" w:hAnsi="Times New Roman" w:eastAsia="仿宋" w:cs="Times New Roman"/>
                <w:kern w:val="0"/>
                <w:sz w:val="20"/>
                <w:szCs w:val="21"/>
              </w:rPr>
              <w:t>开发区应制定环境风险应急预案，成立应急组织机构，定期开展应急演练，提高区域环境风险防范能力。</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3</w:t>
            </w:r>
            <w:r>
              <w:rPr>
                <w:rFonts w:hint="eastAsia" w:ascii="Times New Roman" w:hAnsi="Times New Roman" w:eastAsia="仿宋" w:cs="Times New Roman"/>
                <w:kern w:val="0"/>
                <w:sz w:val="20"/>
                <w:szCs w:val="21"/>
              </w:rPr>
              <w:t>严格管理涉及易导致环境风险的有毒有害和易燃易爆物质的生产、使用、贮运等新建、改扩建项目</w:t>
            </w:r>
            <w:r>
              <w:rPr>
                <w:rFonts w:ascii="Times New Roman" w:hAnsi="Times New Roman" w:eastAsia="仿宋" w:cs="Times New Roman"/>
                <w:kern w:val="0"/>
                <w:sz w:val="20"/>
                <w:szCs w:val="21"/>
              </w:rPr>
              <w:t>。</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1推广园区集中供热，园区新建供热设施须执行排放浓度限值。</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2完成吉林省下达的产能置换要求。各产业执行对应的清洁生产标准。</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ZH22058120003</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梅河口市城镇开发边界</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1城镇居民区、文化教育科学研究区等人口集中区域禁止畜禽养殖场、养殖小区等涉及氨排放的生产生活活动。除在安全或者产业布局等方面有特殊要求的项目外，原则上应避免大规模排放大气污染物的项目布局建设。</w:t>
            </w:r>
          </w:p>
          <w:p>
            <w:pPr>
              <w:widowControl/>
              <w:jc w:val="left"/>
              <w:rPr>
                <w:rFonts w:ascii="Times New Roman" w:hAnsi="Times New Roman" w:eastAsia="仿宋" w:cs="Times New Roman"/>
                <w:sz w:val="20"/>
                <w:szCs w:val="21"/>
              </w:rPr>
            </w:pPr>
            <w:r>
              <w:rPr>
                <w:rFonts w:ascii="Times New Roman" w:hAnsi="Times New Roman" w:eastAsia="仿宋" w:cs="Times New Roman"/>
                <w:sz w:val="20"/>
                <w:szCs w:val="21"/>
              </w:rPr>
              <w:t>2除在安全或者产业布局等方面有特殊要求的项目外，应避免大规模排放水污染物的项目布局建设。</w:t>
            </w:r>
          </w:p>
          <w:p>
            <w:pPr>
              <w:widowControl/>
              <w:jc w:val="left"/>
              <w:rPr>
                <w:rFonts w:ascii="Times New Roman" w:hAnsi="Times New Roman" w:eastAsia="仿宋" w:cs="Times New Roman"/>
                <w:kern w:val="0"/>
                <w:sz w:val="20"/>
                <w:szCs w:val="21"/>
              </w:rPr>
            </w:pPr>
            <w:r>
              <w:rPr>
                <w:rFonts w:ascii="Times New Roman" w:hAnsi="Times New Roman" w:eastAsia="仿宋" w:cs="Times New Roman"/>
                <w:sz w:val="20"/>
                <w:szCs w:val="21"/>
              </w:rPr>
              <w:t>3推进城市建成区内现有钢铁、建材、有色金属、造纸、印染、原料药制造、化工等污染较重的企业有序搬迁改造或依法关闭。</w:t>
            </w:r>
          </w:p>
        </w:tc>
        <w:tc>
          <w:tcPr>
            <w:tcW w:w="935" w:type="pct"/>
            <w:vMerge w:val="restar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大气环境受体敏感重点管控区、水环境城镇生活污染重点管控区、建设用地污染风险重点管控区、梅河香炉碗子金矿重点矿区、高污染燃料禁燃区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《关于开展畜禽养殖禁养区划定工作的通知》《畜禽规模养殖污染防治条例》《吉林省减污降碳协同增效实施方案》《中共吉林省委 吉林省人民政府关于深入打好污染防治攻坚战的实施意见》《吉林省生态环境保护“十四五”规划》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污染物排放管控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加大燃煤锅炉达标排放监管力度，推进清洁燃料供应体系建设，加强非道路移动机械污染防治，加强城区建筑施工场所扬尘污染整治，</w:t>
            </w:r>
            <w:r>
              <w:rPr>
                <w:rFonts w:hint="eastAsia" w:ascii="Times New Roman" w:hAnsi="Times New Roman" w:eastAsia="仿宋" w:cs="Times New Roman"/>
                <w:sz w:val="20"/>
                <w:szCs w:val="21"/>
              </w:rPr>
              <w:t>加强对餐饮服务业油烟污染监管</w:t>
            </w:r>
            <w:r>
              <w:rPr>
                <w:rFonts w:ascii="Times New Roman" w:hAnsi="Times New Roman" w:eastAsia="仿宋" w:cs="Times New Roman"/>
                <w:sz w:val="20"/>
                <w:szCs w:val="21"/>
              </w:rPr>
              <w:t>，强化对加油站、储油库、油罐车等油气回收设施运行监管。</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color w:val="FF0000"/>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环境风险防控</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1</w:t>
            </w:r>
            <w:r>
              <w:rPr>
                <w:rFonts w:hint="eastAsia" w:ascii="Times New Roman" w:hAnsi="Times New Roman" w:eastAsia="仿宋" w:cs="Times New Roman"/>
                <w:sz w:val="20"/>
                <w:szCs w:val="21"/>
              </w:rPr>
              <w:t>严格管理涉及易导致环境风险的有毒有害和易燃易爆物质的生产、使用、贮运等新建、改扩建项目</w:t>
            </w:r>
            <w:r>
              <w:rPr>
                <w:rFonts w:ascii="Times New Roman" w:hAnsi="Times New Roman" w:eastAsia="仿宋" w:cs="Times New Roman"/>
                <w:sz w:val="20"/>
                <w:szCs w:val="21"/>
              </w:rPr>
              <w:t>。</w:t>
            </w:r>
          </w:p>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color w:val="FF0000"/>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禁燃区内禁止燃用的高污染燃料按照《高污染燃料目录》中的第Ⅱ类执行；禁燃区内禁止销售、燃用高污染燃料；禁止新建、改建、扩建任何燃用高污染燃料的项目和设备；禁止使用生物质成型燃料；现有燃用高污染燃料设备在拆除或改造之前，有关单位和个人应当采取措施，确保排放的大气污染物达到国家规定的大气污染物排放标准。</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ZH22058120004</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梅河口市大气环境高排放重点管控区</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严格控制钢铁、焦化、电解铝、铸造、水泥和平板玻璃等行业新增产能，列入去产能的钢铁企业退出时须一并退出配套的烧结、焦炉、高炉等设备。推进煤炭、矿石、钢材、石油、粮食、建材、焦炭等大宗货物中长途运输“公转铁”。</w:t>
            </w:r>
          </w:p>
        </w:tc>
        <w:tc>
          <w:tcPr>
            <w:tcW w:w="935" w:type="pct"/>
            <w:vMerge w:val="restar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大气环境高排放重点管控区</w:t>
            </w:r>
          </w:p>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依据：</w:t>
            </w:r>
            <w:r>
              <w:rPr>
                <w:rFonts w:ascii="Times New Roman" w:hAnsi="Times New Roman" w:eastAsia="仿宋" w:cs="Times New Roman"/>
                <w:bCs/>
                <w:kern w:val="0"/>
                <w:sz w:val="20"/>
                <w:szCs w:val="21"/>
              </w:rPr>
              <w:t>《吉林省减污降碳协同增效实施方案》《吉林省生态环境保护“十四五”规划》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color w:val="FF0000"/>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污染物排放管控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1深化工业污染治理，持续推进工业污染源全面达标排放，加大工业污染源烟气高效脱硫脱硝、除尘改造力度。推进重点行业污染治理升级改造。</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一体推进重点行业大气污染深度治理与节能降碳，推动大型燃煤锅炉、钢铁、水泥等行业超低排放改造，推动重点行业、重点领域氮氧化物减排，探索开展大气污染物与温室气体排放协同控制改造提升工程试点。</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color w:val="FF0000"/>
                <w:sz w:val="20"/>
                <w:szCs w:val="21"/>
              </w:rPr>
            </w:pP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严格管理涉及易导致环境风险的有毒有害和易燃易爆物质的生产、使用、贮运等新建、改扩建项目</w:t>
            </w:r>
            <w:r>
              <w:rPr>
                <w:rFonts w:ascii="Times New Roman" w:hAnsi="Times New Roman" w:eastAsia="仿宋" w:cs="Times New Roman"/>
                <w:kern w:val="0"/>
                <w:sz w:val="20"/>
                <w:szCs w:val="21"/>
              </w:rPr>
              <w:t>。</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color w:val="FF0000"/>
                <w:sz w:val="20"/>
                <w:szCs w:val="21"/>
              </w:rPr>
            </w:pPr>
          </w:p>
        </w:tc>
        <w:tc>
          <w:tcPr>
            <w:tcW w:w="498" w:type="pct"/>
            <w:vMerge w:val="continue"/>
            <w:shd w:val="clear" w:color="auto" w:fill="auto"/>
            <w:vAlign w:val="center"/>
          </w:tcPr>
          <w:p>
            <w:pPr>
              <w:rPr>
                <w:rFonts w:ascii="Times New Roman" w:hAnsi="Times New Roman" w:eastAsia="仿宋" w:cs="Times New Roman"/>
                <w:color w:val="FF0000"/>
                <w:sz w:val="20"/>
                <w:szCs w:val="21"/>
              </w:rPr>
            </w:pPr>
          </w:p>
        </w:tc>
        <w:tc>
          <w:tcPr>
            <w:tcW w:w="412" w:type="pct"/>
            <w:vMerge w:val="continue"/>
            <w:shd w:val="clear" w:color="auto" w:fill="auto"/>
            <w:vAlign w:val="center"/>
          </w:tcPr>
          <w:p>
            <w:pPr>
              <w:rPr>
                <w:rFonts w:ascii="Times New Roman" w:hAnsi="Times New Roman" w:eastAsia="仿宋" w:cs="Times New Roman"/>
                <w:color w:val="FF0000"/>
                <w:sz w:val="20"/>
                <w:szCs w:val="21"/>
              </w:rPr>
            </w:pP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完成吉林省下达的产能置换要求。</w:t>
            </w:r>
          </w:p>
        </w:tc>
        <w:tc>
          <w:tcPr>
            <w:tcW w:w="935" w:type="pct"/>
            <w:vMerge w:val="continue"/>
            <w:shd w:val="clear" w:color="auto" w:fill="auto"/>
            <w:vAlign w:val="center"/>
          </w:tcPr>
          <w:p>
            <w:pPr>
              <w:jc w:val="left"/>
              <w:rPr>
                <w:rFonts w:ascii="Times New Roman" w:hAnsi="Times New Roman" w:eastAsia="仿宋" w:cs="Times New Roman"/>
                <w:b/>
                <w:color w:val="FF0000"/>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ZH22058120005</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梅河口市大气环境弱扩散重点管控区</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空间布局约束</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除在安全或者产业布局等方面有特殊要求的项目外，宜避免大规模排放大气污染物的项目布局建设。</w:t>
            </w:r>
          </w:p>
        </w:tc>
        <w:tc>
          <w:tcPr>
            <w:tcW w:w="935" w:type="pct"/>
            <w:vMerge w:val="restar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大气环境弱扩散重点管控区、高污染燃料禁燃区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《吉林省生态环境保护“十四五”规划》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污染物排放管控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1深入推进秸秆禁烧管控，实行秸秆全域禁烧。全面推进秸秆综合利用，建立完善秸秆全量化处置长效机制。</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2实施化肥农药减量增效行动和农膜回收行动；采取积极措施，推进养殖业大气氨减排。</w:t>
            </w:r>
          </w:p>
        </w:tc>
        <w:tc>
          <w:tcPr>
            <w:tcW w:w="935" w:type="pct"/>
            <w:vMerge w:val="continue"/>
            <w:shd w:val="clear" w:color="auto" w:fill="auto"/>
            <w:vAlign w:val="center"/>
          </w:tcPr>
          <w:p>
            <w:pPr>
              <w:jc w:val="left"/>
              <w:rPr>
                <w:rFonts w:ascii="Times New Roman" w:hAnsi="Times New Roman" w:eastAsia="仿宋" w:cs="Times New Roman"/>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环境风险防控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hint="eastAsia" w:ascii="Times New Roman" w:hAnsi="Times New Roman" w:eastAsia="仿宋" w:cs="Times New Roman"/>
                <w:kern w:val="0"/>
                <w:sz w:val="20"/>
                <w:szCs w:val="21"/>
              </w:rPr>
              <w:t>严格管理涉及易导致环境风险的有毒有害和易燃易爆物质的生产、使用、贮运等新建、改扩建项目</w:t>
            </w:r>
            <w:r>
              <w:rPr>
                <w:rFonts w:ascii="Times New Roman" w:hAnsi="Times New Roman" w:eastAsia="仿宋" w:cs="Times New Roman"/>
                <w:kern w:val="0"/>
                <w:sz w:val="20"/>
                <w:szCs w:val="21"/>
              </w:rPr>
              <w:t>。</w:t>
            </w:r>
          </w:p>
        </w:tc>
        <w:tc>
          <w:tcPr>
            <w:tcW w:w="935" w:type="pct"/>
            <w:vMerge w:val="continue"/>
            <w:shd w:val="clear" w:color="auto" w:fill="auto"/>
            <w:vAlign w:val="center"/>
          </w:tcPr>
          <w:p>
            <w:pPr>
              <w:jc w:val="left"/>
              <w:rPr>
                <w:rFonts w:ascii="Times New Roman" w:hAnsi="Times New Roman" w:eastAsia="仿宋" w:cs="Times New Roman"/>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禁燃区内禁止燃用的高污染燃料按照《高污染燃料目录》中的第Ⅱ类执行；禁燃区内禁止销售、燃用高污染燃料；禁止新建、改建、扩建任何燃用高污染燃料的项目和设备；禁止使用生物质成型燃料；现有燃用高污染燃料设备在拆除或改造之前，有关单位和个人应当采取措施，确保排放的大气污染物达到国家规定的大气污染物排放标准。</w:t>
            </w:r>
          </w:p>
        </w:tc>
        <w:tc>
          <w:tcPr>
            <w:tcW w:w="935" w:type="pct"/>
            <w:vMerge w:val="continue"/>
            <w:shd w:val="clear" w:color="auto" w:fill="auto"/>
            <w:vAlign w:val="center"/>
          </w:tcPr>
          <w:p>
            <w:pPr>
              <w:jc w:val="left"/>
              <w:rPr>
                <w:rFonts w:ascii="Times New Roman" w:hAnsi="Times New Roman" w:eastAsia="仿宋" w:cs="Times New Roman"/>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ZH22058120006</w:t>
            </w:r>
          </w:p>
        </w:tc>
        <w:tc>
          <w:tcPr>
            <w:tcW w:w="498"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梅河口市水环境风险重点管控区</w:t>
            </w:r>
          </w:p>
        </w:tc>
        <w:tc>
          <w:tcPr>
            <w:tcW w:w="412"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污染物排放管控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1研究建立统筹水环境、水资源和水生态监测评价体系，对重要江河湖库开展水生态环境评价预警。</w:t>
            </w:r>
          </w:p>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2建设和完善城乡污水处理设施及配套管网工程，定期排查和不定期抽查工业企业排污情况。加强污水管网提升改造建设，提高城镇生活污水集中处理率。</w:t>
            </w:r>
          </w:p>
        </w:tc>
        <w:tc>
          <w:tcPr>
            <w:tcW w:w="935" w:type="pc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水环境风险重点管控区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《吉林省“十四五”重点流域水生态环境保护规划》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ZH22058120007</w:t>
            </w:r>
          </w:p>
        </w:tc>
        <w:tc>
          <w:tcPr>
            <w:tcW w:w="498"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梅河口市建设用地污染风险重点管控区</w:t>
            </w:r>
          </w:p>
        </w:tc>
        <w:tc>
          <w:tcPr>
            <w:tcW w:w="412" w:type="pct"/>
            <w:vMerge w:val="restar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sz w:val="20"/>
              </w:rPr>
            </w:pPr>
            <w:r>
              <w:rPr>
                <w:rFonts w:ascii="Times New Roman" w:hAnsi="Times New Roman" w:eastAsia="仿宋" w:cs="Times New Roman"/>
                <w:sz w:val="20"/>
              </w:rPr>
              <w:t>空间布局约束</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35" w:type="pct"/>
            <w:vMerge w:val="restart"/>
            <w:shd w:val="clear" w:color="auto" w:fill="auto"/>
            <w:vAlign w:val="center"/>
          </w:tcPr>
          <w:p>
            <w:pPr>
              <w:jc w:val="left"/>
              <w:rPr>
                <w:rFonts w:ascii="Times New Roman" w:hAnsi="Times New Roman" w:eastAsia="仿宋" w:cs="Times New Roman"/>
                <w:bCs/>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bCs/>
                <w:kern w:val="0"/>
                <w:sz w:val="20"/>
                <w:szCs w:val="21"/>
              </w:rPr>
              <w:t>建设用地污染风险重点管控区、</w:t>
            </w:r>
            <w:r>
              <w:rPr>
                <w:rFonts w:ascii="Times New Roman" w:hAnsi="Times New Roman" w:eastAsia="仿宋" w:cs="Times New Roman"/>
                <w:sz w:val="20"/>
                <w:szCs w:val="21"/>
              </w:rPr>
              <w:t>梅河香炉碗子金矿重点矿区</w:t>
            </w:r>
          </w:p>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《污染地块土壤环境管理办法（试行）》《工矿用地土壤环境管理办法（试行）》</w:t>
            </w:r>
            <w:r>
              <w:rPr>
                <w:rFonts w:ascii="Times New Roman" w:hAnsi="Times New Roman" w:eastAsia="仿宋" w:cs="Times New Roman"/>
                <w:sz w:val="20"/>
                <w:szCs w:val="21"/>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widowControl/>
              <w:rPr>
                <w:rFonts w:ascii="Times New Roman" w:hAnsi="Times New Roman" w:eastAsia="仿宋" w:cs="Times New Roman"/>
                <w:sz w:val="20"/>
                <w:szCs w:val="20"/>
              </w:rPr>
            </w:pPr>
            <w:r>
              <w:rPr>
                <w:rFonts w:ascii="Times New Roman" w:hAnsi="Times New Roman" w:eastAsia="仿宋" w:cs="Times New Roman"/>
                <w:sz w:val="20"/>
                <w:szCs w:val="20"/>
              </w:rPr>
              <w:t>污染物排放管控</w:t>
            </w:r>
          </w:p>
        </w:tc>
        <w:tc>
          <w:tcPr>
            <w:tcW w:w="2204" w:type="pct"/>
            <w:shd w:val="clear" w:color="auto" w:fill="auto"/>
            <w:vAlign w:val="center"/>
          </w:tcPr>
          <w:p>
            <w:pPr>
              <w:widowControl/>
              <w:rPr>
                <w:rFonts w:ascii="Times New Roman" w:hAnsi="Times New Roman" w:eastAsia="仿宋" w:cs="Times New Roman"/>
                <w:kern w:val="0"/>
                <w:sz w:val="20"/>
                <w:szCs w:val="20"/>
              </w:rPr>
            </w:pPr>
            <w:r>
              <w:rPr>
                <w:rFonts w:ascii="Times New Roman" w:hAnsi="Times New Roman" w:eastAsia="仿宋" w:cs="Times New Roman"/>
                <w:kern w:val="0"/>
                <w:sz w:val="20"/>
                <w:szCs w:val="20"/>
              </w:rPr>
              <w:t>新（改、扩）建涉及有毒有害物质可能造成土壤污染的建设项目，严格落实土壤和地下水污染防治要求。</w:t>
            </w:r>
          </w:p>
        </w:tc>
        <w:tc>
          <w:tcPr>
            <w:tcW w:w="935" w:type="pct"/>
            <w:vMerge w:val="continue"/>
            <w:shd w:val="clear" w:color="auto" w:fill="auto"/>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vMerge w:val="continue"/>
            <w:shd w:val="clear" w:color="auto" w:fill="auto"/>
            <w:vAlign w:val="center"/>
          </w:tcPr>
          <w:p>
            <w:pPr>
              <w:rPr>
                <w:rFonts w:ascii="Times New Roman" w:hAnsi="Times New Roman" w:eastAsia="仿宋" w:cs="Times New Roman"/>
                <w:sz w:val="20"/>
                <w:szCs w:val="21"/>
              </w:rPr>
            </w:pPr>
          </w:p>
        </w:tc>
        <w:tc>
          <w:tcPr>
            <w:tcW w:w="498" w:type="pct"/>
            <w:vMerge w:val="continue"/>
            <w:shd w:val="clear" w:color="auto" w:fill="auto"/>
            <w:vAlign w:val="center"/>
          </w:tcPr>
          <w:p>
            <w:pPr>
              <w:rPr>
                <w:rFonts w:ascii="Times New Roman" w:hAnsi="Times New Roman" w:eastAsia="仿宋" w:cs="Times New Roman"/>
                <w:sz w:val="20"/>
                <w:szCs w:val="21"/>
              </w:rPr>
            </w:pPr>
          </w:p>
        </w:tc>
        <w:tc>
          <w:tcPr>
            <w:tcW w:w="412" w:type="pct"/>
            <w:vMerge w:val="continue"/>
            <w:shd w:val="clear" w:color="auto" w:fill="auto"/>
            <w:vAlign w:val="center"/>
          </w:tcPr>
          <w:p>
            <w:pPr>
              <w:rPr>
                <w:rFonts w:ascii="Times New Roman" w:hAnsi="Times New Roman" w:eastAsia="仿宋" w:cs="Times New Roman"/>
                <w:sz w:val="20"/>
                <w:szCs w:val="21"/>
              </w:rPr>
            </w:pPr>
          </w:p>
        </w:tc>
        <w:tc>
          <w:tcPr>
            <w:tcW w:w="464" w:type="pct"/>
            <w:shd w:val="clear" w:color="auto" w:fill="auto"/>
            <w:vAlign w:val="center"/>
          </w:tcPr>
          <w:p>
            <w:pPr>
              <w:widowControl/>
              <w:jc w:val="left"/>
              <w:rPr>
                <w:rFonts w:ascii="Times New Roman" w:hAnsi="Times New Roman" w:eastAsia="仿宋" w:cs="Times New Roman"/>
                <w:bCs/>
                <w:kern w:val="0"/>
                <w:sz w:val="20"/>
                <w:szCs w:val="20"/>
              </w:rPr>
            </w:pPr>
            <w:r>
              <w:rPr>
                <w:rFonts w:ascii="Times New Roman" w:hAnsi="Times New Roman" w:eastAsia="仿宋" w:cs="Times New Roman"/>
                <w:bCs/>
                <w:kern w:val="0"/>
                <w:sz w:val="20"/>
                <w:szCs w:val="20"/>
              </w:rPr>
              <w:t>环境风险防控</w:t>
            </w:r>
          </w:p>
        </w:tc>
        <w:tc>
          <w:tcPr>
            <w:tcW w:w="2204" w:type="pct"/>
            <w:shd w:val="clear" w:color="auto" w:fill="auto"/>
            <w:vAlign w:val="center"/>
          </w:tcPr>
          <w:p>
            <w:pPr>
              <w:widowControl/>
              <w:jc w:val="left"/>
              <w:rPr>
                <w:rFonts w:ascii="Times New Roman" w:hAnsi="Times New Roman" w:eastAsia="仿宋" w:cs="Times New Roman"/>
                <w:sz w:val="20"/>
                <w:szCs w:val="20"/>
              </w:rPr>
            </w:pPr>
            <w:r>
              <w:rPr>
                <w:rFonts w:ascii="Times New Roman" w:hAnsi="Times New Roman" w:eastAsia="仿宋" w:cs="Times New Roman"/>
                <w:sz w:val="20"/>
                <w:szCs w:val="20"/>
              </w:rPr>
              <w:t>1落实有色金属冶炼、石油加工、化工、焦化、电镀、制革等土壤污染重点监管企业污染隐患排查整治。</w:t>
            </w:r>
          </w:p>
          <w:p>
            <w:pPr>
              <w:widowControl/>
              <w:jc w:val="left"/>
              <w:rPr>
                <w:rFonts w:ascii="Times New Roman" w:hAnsi="Times New Roman" w:eastAsia="仿宋" w:cs="Times New Roman"/>
                <w:bCs/>
                <w:kern w:val="0"/>
                <w:sz w:val="20"/>
                <w:szCs w:val="20"/>
              </w:rPr>
            </w:pPr>
            <w:r>
              <w:rPr>
                <w:rFonts w:ascii="Times New Roman" w:hAnsi="Times New Roman" w:eastAsia="仿宋" w:cs="Times New Roman"/>
                <w:sz w:val="20"/>
                <w:szCs w:val="20"/>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tc>
        <w:tc>
          <w:tcPr>
            <w:tcW w:w="935" w:type="pct"/>
            <w:vMerge w:val="continue"/>
            <w:shd w:val="clear" w:color="auto" w:fill="auto"/>
            <w:vAlign w:val="center"/>
          </w:tcPr>
          <w:p>
            <w:pPr>
              <w:jc w:val="left"/>
              <w:rPr>
                <w:rFonts w:ascii="Times New Roman" w:hAnsi="Times New Roman" w:eastAsia="仿宋" w:cs="Times New Roman"/>
                <w:b/>
                <w:bCs/>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ZH22058120008</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梅河香炉碗子金矿重点矿区</w:t>
            </w:r>
          </w:p>
        </w:tc>
        <w:tc>
          <w:tcPr>
            <w:tcW w:w="412"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sz w:val="20"/>
              </w:rPr>
            </w:pPr>
            <w:r>
              <w:rPr>
                <w:rFonts w:ascii="Times New Roman" w:hAnsi="Times New Roman" w:eastAsia="仿宋" w:cs="Times New Roman"/>
                <w:sz w:val="20"/>
              </w:rPr>
              <w:t>空间布局约束</w:t>
            </w:r>
          </w:p>
        </w:tc>
        <w:tc>
          <w:tcPr>
            <w:tcW w:w="2204"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sz w:val="20"/>
                <w:szCs w:val="21"/>
              </w:rPr>
              <w:t>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935" w:type="pct"/>
            <w:shd w:val="clear" w:color="auto" w:fill="auto"/>
            <w:vAlign w:val="center"/>
          </w:tcPr>
          <w:p>
            <w:pPr>
              <w:jc w:val="left"/>
              <w:rPr>
                <w:rFonts w:ascii="Times New Roman" w:hAnsi="Times New Roman" w:eastAsia="仿宋" w:cs="Times New Roman"/>
                <w:sz w:val="20"/>
                <w:szCs w:val="21"/>
              </w:rPr>
            </w:pPr>
            <w:r>
              <w:rPr>
                <w:rFonts w:ascii="Times New Roman" w:hAnsi="Times New Roman" w:eastAsia="仿宋" w:cs="Times New Roman"/>
                <w:b/>
                <w:bCs/>
                <w:sz w:val="20"/>
                <w:szCs w:val="21"/>
              </w:rPr>
              <w:t>要素分区：</w:t>
            </w:r>
            <w:r>
              <w:rPr>
                <w:rFonts w:ascii="Times New Roman" w:hAnsi="Times New Roman" w:eastAsia="仿宋" w:cs="Times New Roman"/>
                <w:sz w:val="20"/>
                <w:szCs w:val="21"/>
              </w:rPr>
              <w:t>梅河香炉碗子金矿重点矿区</w:t>
            </w:r>
          </w:p>
          <w:p>
            <w:pPr>
              <w:jc w:val="left"/>
              <w:rPr>
                <w:rFonts w:ascii="Times New Roman" w:hAnsi="Times New Roman" w:eastAsia="仿宋" w:cs="Times New Roman"/>
                <w:b/>
                <w:bCs/>
                <w:sz w:val="20"/>
                <w:szCs w:val="21"/>
              </w:rPr>
            </w:pPr>
            <w:r>
              <w:rPr>
                <w:rFonts w:ascii="Times New Roman" w:hAnsi="Times New Roman" w:eastAsia="仿宋" w:cs="Times New Roman"/>
                <w:b/>
                <w:bCs/>
                <w:sz w:val="20"/>
                <w:szCs w:val="21"/>
              </w:rPr>
              <w:t>依据：</w:t>
            </w:r>
            <w:r>
              <w:rPr>
                <w:rFonts w:ascii="Times New Roman" w:hAnsi="Times New Roman" w:eastAsia="仿宋" w:cs="Times New Roman"/>
                <w:sz w:val="20"/>
                <w:szCs w:val="21"/>
              </w:rPr>
              <w:t>《吉林省矿产资源总体规划（2021-2025年）》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ZH22058120009</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梅河口市高污染燃料禁燃区</w:t>
            </w:r>
          </w:p>
        </w:tc>
        <w:tc>
          <w:tcPr>
            <w:tcW w:w="412"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2-重点管控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sz w:val="20"/>
                <w:szCs w:val="21"/>
              </w:rPr>
              <w:t>资源开发效率</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禁燃区内禁止燃用的高污染燃料按照《高污染燃料目录》中的第Ⅱ类执行；禁燃区内禁止销售、燃用高污染燃料；禁止新建、改建、扩建任何燃用高污染燃料的项目和设备；禁止使用生物质成型燃料；现有燃用高污染燃料设备在拆除或改造之前，有关单位和个人应当采取措施，确保排放的大气污染物达到国家规定的大气污染物排放标准。</w:t>
            </w:r>
          </w:p>
        </w:tc>
        <w:tc>
          <w:tcPr>
            <w:tcW w:w="935" w:type="pct"/>
            <w:shd w:val="clear" w:color="auto" w:fill="auto"/>
            <w:vAlign w:val="center"/>
          </w:tcPr>
          <w:p>
            <w:pPr>
              <w:jc w:val="left"/>
              <w:rPr>
                <w:rFonts w:ascii="Times New Roman" w:hAnsi="Times New Roman" w:eastAsia="仿宋" w:cs="Times New Roman"/>
                <w:b/>
                <w:kern w:val="0"/>
                <w:sz w:val="20"/>
                <w:szCs w:val="21"/>
              </w:rPr>
            </w:pPr>
            <w:r>
              <w:rPr>
                <w:rFonts w:ascii="Times New Roman" w:hAnsi="Times New Roman" w:eastAsia="仿宋" w:cs="Times New Roman"/>
                <w:b/>
                <w:kern w:val="0"/>
                <w:sz w:val="20"/>
                <w:szCs w:val="21"/>
              </w:rPr>
              <w:t>要素分区：</w:t>
            </w:r>
            <w:r>
              <w:rPr>
                <w:rFonts w:ascii="Times New Roman" w:hAnsi="Times New Roman" w:eastAsia="仿宋" w:cs="Times New Roman"/>
                <w:sz w:val="20"/>
                <w:szCs w:val="21"/>
              </w:rPr>
              <w:t>高污染燃料禁燃区</w:t>
            </w:r>
          </w:p>
          <w:p>
            <w:pPr>
              <w:jc w:val="left"/>
              <w:rPr>
                <w:rFonts w:ascii="Times New Roman" w:hAnsi="Times New Roman" w:eastAsia="仿宋" w:cs="Times New Roman"/>
                <w:b/>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《梅河口市人民政府关于划定梅河口市高污染燃料禁燃区的通告》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4"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ZH22058130001</w:t>
            </w:r>
          </w:p>
        </w:tc>
        <w:tc>
          <w:tcPr>
            <w:tcW w:w="498"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梅河口市一般管控区</w:t>
            </w:r>
          </w:p>
        </w:tc>
        <w:tc>
          <w:tcPr>
            <w:tcW w:w="412" w:type="pct"/>
            <w:shd w:val="clear" w:color="auto" w:fill="auto"/>
            <w:vAlign w:val="center"/>
          </w:tcPr>
          <w:p>
            <w:pPr>
              <w:rPr>
                <w:rFonts w:ascii="Times New Roman" w:hAnsi="Times New Roman" w:eastAsia="仿宋" w:cs="Times New Roman"/>
                <w:sz w:val="20"/>
                <w:szCs w:val="21"/>
              </w:rPr>
            </w:pPr>
            <w:r>
              <w:rPr>
                <w:rFonts w:ascii="Times New Roman" w:hAnsi="Times New Roman" w:eastAsia="仿宋" w:cs="Times New Roman"/>
                <w:sz w:val="20"/>
                <w:szCs w:val="21"/>
              </w:rPr>
              <w:t>3-一般管控</w:t>
            </w:r>
          </w:p>
        </w:tc>
        <w:tc>
          <w:tcPr>
            <w:tcW w:w="46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污染物排放管控</w:t>
            </w:r>
          </w:p>
        </w:tc>
        <w:tc>
          <w:tcPr>
            <w:tcW w:w="2204"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kern w:val="0"/>
                <w:sz w:val="20"/>
                <w:szCs w:val="21"/>
              </w:rPr>
              <w:t>贯彻实施国家与吉林省大气、水污染相关各项标准，深化重点行业污染治理，推进国家和地方确定的各项产业结构调整措施。新、改、扩建项目，满足产业准入、总量控制、排放标准等管理制度要求的前提下，推进工业项目进园、集约高效发展。</w:t>
            </w:r>
          </w:p>
        </w:tc>
        <w:tc>
          <w:tcPr>
            <w:tcW w:w="935" w:type="pct"/>
            <w:shd w:val="clear" w:color="auto" w:fill="auto"/>
            <w:vAlign w:val="center"/>
          </w:tcPr>
          <w:p>
            <w:pPr>
              <w:jc w:val="left"/>
              <w:rPr>
                <w:rFonts w:ascii="Times New Roman" w:hAnsi="Times New Roman" w:eastAsia="仿宋" w:cs="Times New Roman"/>
                <w:kern w:val="0"/>
                <w:sz w:val="20"/>
                <w:szCs w:val="21"/>
              </w:rPr>
            </w:pPr>
            <w:r>
              <w:rPr>
                <w:rFonts w:ascii="Times New Roman" w:hAnsi="Times New Roman" w:eastAsia="仿宋" w:cs="Times New Roman"/>
                <w:b/>
                <w:bCs/>
                <w:sz w:val="20"/>
                <w:szCs w:val="21"/>
              </w:rPr>
              <w:t>依据：</w:t>
            </w:r>
            <w:r>
              <w:rPr>
                <w:rFonts w:ascii="Times New Roman" w:hAnsi="Times New Roman" w:eastAsia="仿宋" w:cs="Times New Roman"/>
                <w:kern w:val="0"/>
                <w:sz w:val="20"/>
                <w:szCs w:val="21"/>
              </w:rPr>
              <w:t>基于“三线”研究成果提出。</w:t>
            </w:r>
          </w:p>
        </w:tc>
      </w:tr>
    </w:tbl>
    <w:p>
      <w:pPr>
        <w:rPr>
          <w:rFonts w:ascii="Times New Roman" w:hAnsi="Times New Roman" w:eastAsia="仿宋" w:cs="Times New Roman"/>
          <w:color w:val="FF0000"/>
          <w:szCs w:val="21"/>
        </w:rPr>
      </w:pPr>
    </w:p>
    <w:bookmarkEnd w:id="125"/>
    <w:p>
      <w:pPr>
        <w:jc w:val="center"/>
        <w:rPr>
          <w:rFonts w:ascii="Times New Roman" w:hAnsi="Times New Roman" w:eastAsia="仿宋" w:cs="Times New Roman"/>
          <w:b/>
          <w:color w:val="FF0000"/>
          <w:kern w:val="0"/>
          <w:sz w:val="24"/>
          <w:szCs w:val="24"/>
        </w:rPr>
      </w:pPr>
    </w:p>
    <w:p>
      <w:pPr>
        <w:rPr>
          <w:rFonts w:ascii="Times New Roman" w:hAnsi="Times New Roman" w:eastAsia="仿宋" w:cs="Times New Roman"/>
          <w:color w:val="FF0000"/>
        </w:rPr>
        <w:sectPr>
          <w:pgSz w:w="23811" w:h="16838" w:orient="landscape"/>
          <w:pgMar w:top="1797" w:right="1440" w:bottom="1797" w:left="1440" w:header="851" w:footer="992" w:gutter="0"/>
          <w:cols w:space="425" w:num="1"/>
          <w:docGrid w:type="lines" w:linePitch="312" w:charSpace="0"/>
        </w:sectPr>
      </w:pPr>
    </w:p>
    <w:p>
      <w:pPr>
        <w:spacing w:after="120" w:line="600" w:lineRule="exact"/>
        <w:ind w:firstLine="320" w:firstLineChars="100"/>
        <w:contextualSpacing/>
        <w:rPr>
          <w:rFonts w:ascii="仿宋_GB2312" w:hAnsi="Calibri" w:eastAsia="宋体" w:cs="Times New Roman"/>
        </w:rPr>
      </w:pPr>
      <w:r>
        <w:rPr>
          <w:rFonts w:hint="eastAsia" w:ascii="黑体" w:hAnsi="黑体" w:eastAsia="黑体" w:cs="Times New Roman"/>
          <w:sz w:val="32"/>
          <w:szCs w:val="32"/>
        </w:rPr>
        <w:t>附件</w:t>
      </w:r>
      <w:r>
        <w:rPr>
          <w:rFonts w:ascii="黑体" w:hAnsi="黑体" w:eastAsia="黑体" w:cs="Times New Roman"/>
          <w:sz w:val="32"/>
          <w:szCs w:val="32"/>
        </w:rPr>
        <w:t>3</w:t>
      </w:r>
      <w:r>
        <w:rPr>
          <w:rFonts w:hint="eastAsia" w:ascii="仿宋_GB2312" w:hAnsi="Calibri" w:eastAsia="仿宋_GB2312" w:cs="Times New Roman"/>
          <w:sz w:val="32"/>
          <w:szCs w:val="32"/>
        </w:rPr>
        <w:t xml:space="preserve">        </w:t>
      </w:r>
      <w:r>
        <w:rPr>
          <w:rFonts w:ascii="仿宋_GB2312" w:hAnsi="Calibri" w:eastAsia="仿宋_GB2312" w:cs="Times New Roman"/>
          <w:sz w:val="32"/>
          <w:szCs w:val="32"/>
        </w:rPr>
        <w:t xml:space="preserve">                                    </w:t>
      </w:r>
      <w:r>
        <w:rPr>
          <w:rFonts w:hint="eastAsia" w:ascii="方正小标宋简体" w:hAnsi="Calibri" w:eastAsia="方正小标宋简体" w:cs="Times New Roman"/>
          <w:spacing w:val="2"/>
          <w:sz w:val="44"/>
          <w:szCs w:val="32"/>
        </w:rPr>
        <w:t>吉林省环境管控单元分布图</w:t>
      </w:r>
    </w:p>
    <w:p>
      <w:pPr>
        <w:jc w:val="center"/>
        <w:rPr>
          <w:rFonts w:ascii="Times New Roman" w:hAnsi="Times New Roman" w:eastAsia="仿宋" w:cs="Times New Roman"/>
          <w:color w:val="FF0000"/>
        </w:rPr>
      </w:pPr>
      <w:r>
        <w:drawing>
          <wp:anchor distT="0" distB="0" distL="114935" distR="114935" simplePos="0" relativeHeight="251659264" behindDoc="0" locked="0" layoutInCell="1" allowOverlap="1">
            <wp:simplePos x="0" y="0"/>
            <wp:positionH relativeFrom="column">
              <wp:posOffset>11972925</wp:posOffset>
            </wp:positionH>
            <wp:positionV relativeFrom="paragraph">
              <wp:posOffset>7769225</wp:posOffset>
            </wp:positionV>
            <wp:extent cx="419100" cy="38100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19100" cy="381000"/>
                    </a:xfrm>
                    <a:prstGeom prst="rect">
                      <a:avLst/>
                    </a:prstGeom>
                    <a:noFill/>
                    <a:ln>
                      <a:noFill/>
                    </a:ln>
                  </pic:spPr>
                </pic:pic>
              </a:graphicData>
            </a:graphic>
          </wp:anchor>
        </w:drawing>
      </w:r>
      <w:r>
        <w:rPr>
          <w:rFonts w:hint="eastAsia" w:ascii="Times New Roman" w:hAnsi="Times New Roman" w:eastAsia="仿宋" w:cs="Times New Roman"/>
          <w:color w:val="FF0000"/>
        </w:rPr>
        <w:drawing>
          <wp:inline distT="0" distB="0" distL="114300" distR="114300">
            <wp:extent cx="11881485" cy="8206105"/>
            <wp:effectExtent l="0" t="0" r="5715" b="4445"/>
            <wp:docPr id="1" name="图片 1" descr="图41：吉林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41：吉林省环境管控单元分布图"/>
                    <pic:cNvPicPr>
                      <a:picLocks noChangeAspect="1"/>
                    </pic:cNvPicPr>
                  </pic:nvPicPr>
                  <pic:blipFill>
                    <a:blip r:embed="rId14"/>
                    <a:stretch>
                      <a:fillRect/>
                    </a:stretch>
                  </pic:blipFill>
                  <pic:spPr>
                    <a:xfrm>
                      <a:off x="0" y="0"/>
                      <a:ext cx="11881485" cy="8206105"/>
                    </a:xfrm>
                    <a:prstGeom prst="rect">
                      <a:avLst/>
                    </a:prstGeom>
                  </pic:spPr>
                </pic:pic>
              </a:graphicData>
            </a:graphic>
          </wp:inline>
        </w:drawing>
      </w:r>
    </w:p>
    <w:sectPr>
      <w:footerReference r:id="rId10" w:type="default"/>
      <w:footerReference r:id="rId11" w:type="even"/>
      <w:pgSz w:w="23814" w:h="16839" w:orient="landscape"/>
      <w:pgMar w:top="1418" w:right="1418" w:bottom="1418" w:left="1418" w:header="851" w:footer="992" w:gutter="0"/>
      <w:pgNumType w:fmt="numberInDash"/>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257875"/>
    </w:sdtPr>
    <w:sdtEndPr>
      <w:rPr>
        <w:rFonts w:ascii="Times New Roman" w:hAnsi="Times New Roman" w:cs="Times New Roman"/>
        <w:sz w:val="21"/>
        <w:szCs w:val="21"/>
      </w:rPr>
    </w:sdtEndPr>
    <w:sdtContent>
      <w:p>
        <w:pPr>
          <w:pStyle w:val="1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407703"/>
    </w:sdtPr>
    <w:sdtContent>
      <w:p>
        <w:pPr>
          <w:pStyle w:val="13"/>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15</w:t>
        </w:r>
        <w:r>
          <w:rPr>
            <w:rFonts w:ascii="Times New Roman" w:hAnsi="Times New Roman" w:cs="Times New Roman"/>
            <w:sz w:val="21"/>
            <w:szCs w:val="21"/>
          </w:rPr>
          <w:fldChar w:fldCharType="end"/>
        </w:r>
      </w:p>
    </w:sdtContent>
  </w:sdt>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right"/>
      <w:rPr>
        <w:rFonts w:ascii="Calibri" w:hAnsi="Calibri" w:eastAsia="宋体" w:cs="Times New Roman"/>
        <w:sz w:val="18"/>
      </w:rPr>
    </w:pPr>
    <w:r>
      <w:rPr>
        <w:rFonts w:ascii="Calibri" w:hAnsi="Calibri" w:eastAsia="宋体" w:cs="Times New Roman"/>
        <w:sz w:val="18"/>
      </w:rPr>
      <w:fldChar w:fldCharType="begin"/>
    </w:r>
    <w:r>
      <w:rPr>
        <w:rFonts w:ascii="Calibri" w:hAnsi="Calibri" w:eastAsia="宋体" w:cs="Times New Roman"/>
        <w:sz w:val="18"/>
      </w:rPr>
      <w:instrText xml:space="preserve">PAGE   \* MERGEFORMAT</w:instrText>
    </w:r>
    <w:r>
      <w:rPr>
        <w:rFonts w:ascii="Calibri" w:hAnsi="Calibri" w:eastAsia="宋体" w:cs="Times New Roman"/>
        <w:sz w:val="18"/>
      </w:rPr>
      <w:fldChar w:fldCharType="separate"/>
    </w:r>
    <w:r>
      <w:rPr>
        <w:rFonts w:ascii="Calibri" w:hAnsi="Calibri" w:eastAsia="宋体" w:cs="Times New Roman"/>
        <w:sz w:val="18"/>
      </w:rPr>
      <w:t>- 11 -</w:t>
    </w:r>
    <w:r>
      <w:rPr>
        <w:rFonts w:ascii="Calibri" w:hAnsi="Calibri" w:eastAsia="宋体" w:cs="Times New Roman"/>
        <w:sz w:val="18"/>
      </w:rPr>
      <w:fldChar w:fldCharType="end"/>
    </w:r>
  </w:p>
  <w:p>
    <w:pPr>
      <w:tabs>
        <w:tab w:val="center" w:pos="4513"/>
        <w:tab w:val="right" w:pos="8306"/>
      </w:tabs>
      <w:snapToGrid w:val="0"/>
      <w:jc w:val="left"/>
      <w:rPr>
        <w:rFonts w:ascii="Calibri" w:hAnsi="Calibri" w:eastAsia="宋体" w:cs="Times New Roman"/>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w:fldChar w:fldCharType="begin"/>
    </w:r>
    <w:r>
      <w:rPr>
        <w:rFonts w:ascii="Calibri" w:hAnsi="Calibri" w:eastAsia="宋体" w:cs="Times New Roman"/>
        <w:sz w:val="18"/>
      </w:rPr>
      <w:instrText xml:space="preserve">PAGE   \* MERGEFORMAT</w:instrText>
    </w:r>
    <w:r>
      <w:rPr>
        <w:rFonts w:ascii="Calibri" w:hAnsi="Calibri" w:eastAsia="宋体" w:cs="Times New Roman"/>
        <w:sz w:val="18"/>
      </w:rPr>
      <w:fldChar w:fldCharType="separate"/>
    </w:r>
    <w:r>
      <w:rPr>
        <w:rFonts w:ascii="Calibri" w:hAnsi="Calibri" w:eastAsia="宋体" w:cs="Times New Roman"/>
        <w:sz w:val="18"/>
      </w:rPr>
      <w:t>- 10 -</w:t>
    </w:r>
    <w:r>
      <w:rPr>
        <w:rFonts w:ascii="Calibri" w:hAnsi="Calibri" w:eastAsia="宋体" w:cs="Times New Roman"/>
        <w:sz w:val="18"/>
      </w:rPr>
      <w:fldChar w:fldCharType="end"/>
    </w:r>
  </w:p>
  <w:p>
    <w:pPr>
      <w:tabs>
        <w:tab w:val="center" w:pos="4153"/>
        <w:tab w:val="right" w:pos="8306"/>
      </w:tabs>
      <w:snapToGrid w:val="0"/>
      <w:jc w:val="left"/>
      <w:rPr>
        <w:rFonts w:ascii="Calibri" w:hAnsi="Calibri" w:eastAsia="宋体" w:cs="Times New Roman"/>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31A5D7"/>
    <w:multiLevelType w:val="singleLevel"/>
    <w:tmpl w:val="FA31A5D7"/>
    <w:lvl w:ilvl="0" w:tentative="0">
      <w:start w:val="1"/>
      <w:numFmt w:val="decimal"/>
      <w:lvlText w:val="%1."/>
      <w:lvlJc w:val="left"/>
      <w:pPr>
        <w:tabs>
          <w:tab w:val="left" w:pos="312"/>
        </w:tabs>
      </w:pPr>
    </w:lvl>
  </w:abstractNum>
  <w:abstractNum w:abstractNumId="1">
    <w:nsid w:val="0D9E91F8"/>
    <w:multiLevelType w:val="singleLevel"/>
    <w:tmpl w:val="0D9E91F8"/>
    <w:lvl w:ilvl="0" w:tentative="0">
      <w:start w:val="1"/>
      <w:numFmt w:val="decimal"/>
      <w:lvlText w:val="%1."/>
      <w:lvlJc w:val="left"/>
      <w:pPr>
        <w:tabs>
          <w:tab w:val="left" w:pos="312"/>
        </w:tabs>
      </w:pPr>
    </w:lvl>
  </w:abstractNum>
  <w:abstractNum w:abstractNumId="2">
    <w:nsid w:val="42E6A298"/>
    <w:multiLevelType w:val="singleLevel"/>
    <w:tmpl w:val="42E6A298"/>
    <w:lvl w:ilvl="0" w:tentative="0">
      <w:start w:val="1"/>
      <w:numFmt w:val="decimal"/>
      <w:lvlText w:val="%1."/>
      <w:lvlJc w:val="left"/>
      <w:pPr>
        <w:tabs>
          <w:tab w:val="left" w:pos="312"/>
        </w:tabs>
      </w:pPr>
    </w:lvl>
  </w:abstractNum>
  <w:abstractNum w:abstractNumId="3">
    <w:nsid w:val="43B4E258"/>
    <w:multiLevelType w:val="singleLevel"/>
    <w:tmpl w:val="43B4E258"/>
    <w:lvl w:ilvl="0" w:tentative="0">
      <w:start w:val="1"/>
      <w:numFmt w:val="decimal"/>
      <w:lvlText w:val="%1."/>
      <w:lvlJc w:val="left"/>
      <w:pPr>
        <w:tabs>
          <w:tab w:val="left" w:pos="312"/>
        </w:tabs>
      </w:pPr>
    </w:lvl>
  </w:abstractNum>
  <w:abstractNum w:abstractNumId="4">
    <w:nsid w:val="4773F801"/>
    <w:multiLevelType w:val="singleLevel"/>
    <w:tmpl w:val="4773F801"/>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dit="readOnly"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jY2U0MTYxZjQzN2Y3ZjcxY2M1MDgxNTQwOWNlYmEifQ=="/>
  </w:docVars>
  <w:rsids>
    <w:rsidRoot w:val="00172A27"/>
    <w:rsid w:val="00000A1C"/>
    <w:rsid w:val="00001067"/>
    <w:rsid w:val="00002B2A"/>
    <w:rsid w:val="00003682"/>
    <w:rsid w:val="00005334"/>
    <w:rsid w:val="0000533B"/>
    <w:rsid w:val="00005E26"/>
    <w:rsid w:val="0000673B"/>
    <w:rsid w:val="00010016"/>
    <w:rsid w:val="000100A3"/>
    <w:rsid w:val="00010EE9"/>
    <w:rsid w:val="000122EE"/>
    <w:rsid w:val="00013150"/>
    <w:rsid w:val="00013F0F"/>
    <w:rsid w:val="00014043"/>
    <w:rsid w:val="0001571B"/>
    <w:rsid w:val="0001593A"/>
    <w:rsid w:val="00015CAB"/>
    <w:rsid w:val="000164FF"/>
    <w:rsid w:val="0001794F"/>
    <w:rsid w:val="00017EB3"/>
    <w:rsid w:val="000207D3"/>
    <w:rsid w:val="000228AB"/>
    <w:rsid w:val="00022B88"/>
    <w:rsid w:val="00022F7D"/>
    <w:rsid w:val="0002342D"/>
    <w:rsid w:val="00023A8D"/>
    <w:rsid w:val="00023D96"/>
    <w:rsid w:val="0002499F"/>
    <w:rsid w:val="00024CC3"/>
    <w:rsid w:val="00026220"/>
    <w:rsid w:val="00026B19"/>
    <w:rsid w:val="000273CC"/>
    <w:rsid w:val="000301D8"/>
    <w:rsid w:val="00031137"/>
    <w:rsid w:val="00031A27"/>
    <w:rsid w:val="00032B33"/>
    <w:rsid w:val="00032C0F"/>
    <w:rsid w:val="00033416"/>
    <w:rsid w:val="0003384C"/>
    <w:rsid w:val="00035596"/>
    <w:rsid w:val="00036AD3"/>
    <w:rsid w:val="00040A8D"/>
    <w:rsid w:val="00041843"/>
    <w:rsid w:val="00041AAC"/>
    <w:rsid w:val="00042262"/>
    <w:rsid w:val="00042535"/>
    <w:rsid w:val="00043A4E"/>
    <w:rsid w:val="000448B7"/>
    <w:rsid w:val="00045570"/>
    <w:rsid w:val="00045A19"/>
    <w:rsid w:val="00046816"/>
    <w:rsid w:val="0004718E"/>
    <w:rsid w:val="00047EF6"/>
    <w:rsid w:val="00051EDA"/>
    <w:rsid w:val="000525F9"/>
    <w:rsid w:val="00052D41"/>
    <w:rsid w:val="0005350D"/>
    <w:rsid w:val="000537E8"/>
    <w:rsid w:val="000558F5"/>
    <w:rsid w:val="00055D7C"/>
    <w:rsid w:val="000578F4"/>
    <w:rsid w:val="00061928"/>
    <w:rsid w:val="00061AA0"/>
    <w:rsid w:val="00062BB9"/>
    <w:rsid w:val="00063574"/>
    <w:rsid w:val="00064B2C"/>
    <w:rsid w:val="000659BD"/>
    <w:rsid w:val="00065A8F"/>
    <w:rsid w:val="00065DFB"/>
    <w:rsid w:val="0006615E"/>
    <w:rsid w:val="00066CC8"/>
    <w:rsid w:val="00067519"/>
    <w:rsid w:val="00067939"/>
    <w:rsid w:val="0007086D"/>
    <w:rsid w:val="000713DA"/>
    <w:rsid w:val="00071F24"/>
    <w:rsid w:val="000720AC"/>
    <w:rsid w:val="00072170"/>
    <w:rsid w:val="000730A8"/>
    <w:rsid w:val="0007313F"/>
    <w:rsid w:val="00073731"/>
    <w:rsid w:val="00074084"/>
    <w:rsid w:val="00074AEF"/>
    <w:rsid w:val="000759E2"/>
    <w:rsid w:val="00075A0E"/>
    <w:rsid w:val="000767C9"/>
    <w:rsid w:val="0007760B"/>
    <w:rsid w:val="00081508"/>
    <w:rsid w:val="00081654"/>
    <w:rsid w:val="000828D8"/>
    <w:rsid w:val="000837E6"/>
    <w:rsid w:val="00083AB1"/>
    <w:rsid w:val="000848E5"/>
    <w:rsid w:val="000849B8"/>
    <w:rsid w:val="00084F19"/>
    <w:rsid w:val="000862B3"/>
    <w:rsid w:val="00086555"/>
    <w:rsid w:val="00086908"/>
    <w:rsid w:val="00086B8E"/>
    <w:rsid w:val="00086C80"/>
    <w:rsid w:val="00087B9D"/>
    <w:rsid w:val="00092F9A"/>
    <w:rsid w:val="00094CFE"/>
    <w:rsid w:val="00094F9B"/>
    <w:rsid w:val="000952EC"/>
    <w:rsid w:val="00095400"/>
    <w:rsid w:val="00095A95"/>
    <w:rsid w:val="000962A9"/>
    <w:rsid w:val="00096999"/>
    <w:rsid w:val="000978D6"/>
    <w:rsid w:val="000A1588"/>
    <w:rsid w:val="000A18D4"/>
    <w:rsid w:val="000A1BFE"/>
    <w:rsid w:val="000A201F"/>
    <w:rsid w:val="000A203C"/>
    <w:rsid w:val="000A26BB"/>
    <w:rsid w:val="000A3198"/>
    <w:rsid w:val="000A3E45"/>
    <w:rsid w:val="000A4F79"/>
    <w:rsid w:val="000A56B5"/>
    <w:rsid w:val="000A5BFE"/>
    <w:rsid w:val="000A5D7B"/>
    <w:rsid w:val="000A637C"/>
    <w:rsid w:val="000B0028"/>
    <w:rsid w:val="000B051C"/>
    <w:rsid w:val="000B353D"/>
    <w:rsid w:val="000B42A2"/>
    <w:rsid w:val="000B4BF5"/>
    <w:rsid w:val="000B4E66"/>
    <w:rsid w:val="000B5404"/>
    <w:rsid w:val="000B637B"/>
    <w:rsid w:val="000B6A6F"/>
    <w:rsid w:val="000B7D52"/>
    <w:rsid w:val="000C07F2"/>
    <w:rsid w:val="000C1936"/>
    <w:rsid w:val="000C1D21"/>
    <w:rsid w:val="000C3DA7"/>
    <w:rsid w:val="000C4C70"/>
    <w:rsid w:val="000C4C8C"/>
    <w:rsid w:val="000C4D10"/>
    <w:rsid w:val="000C65BB"/>
    <w:rsid w:val="000D0AA8"/>
    <w:rsid w:val="000D1CCD"/>
    <w:rsid w:val="000D244E"/>
    <w:rsid w:val="000D24CC"/>
    <w:rsid w:val="000D3E8A"/>
    <w:rsid w:val="000D56DA"/>
    <w:rsid w:val="000D6AFC"/>
    <w:rsid w:val="000D78D4"/>
    <w:rsid w:val="000E0A2E"/>
    <w:rsid w:val="000E1326"/>
    <w:rsid w:val="000E13F1"/>
    <w:rsid w:val="000E2C88"/>
    <w:rsid w:val="000E37A1"/>
    <w:rsid w:val="000E49FC"/>
    <w:rsid w:val="000E4BD5"/>
    <w:rsid w:val="000E7B1F"/>
    <w:rsid w:val="000E7BD0"/>
    <w:rsid w:val="000F0F2A"/>
    <w:rsid w:val="000F1315"/>
    <w:rsid w:val="000F1DDE"/>
    <w:rsid w:val="000F372C"/>
    <w:rsid w:val="000F6427"/>
    <w:rsid w:val="000F6C34"/>
    <w:rsid w:val="000F76C6"/>
    <w:rsid w:val="00101436"/>
    <w:rsid w:val="00101DA4"/>
    <w:rsid w:val="001031C1"/>
    <w:rsid w:val="00103897"/>
    <w:rsid w:val="00103B86"/>
    <w:rsid w:val="001053F0"/>
    <w:rsid w:val="00106093"/>
    <w:rsid w:val="00107FED"/>
    <w:rsid w:val="0011045B"/>
    <w:rsid w:val="00110853"/>
    <w:rsid w:val="00111445"/>
    <w:rsid w:val="00111FB4"/>
    <w:rsid w:val="001135EC"/>
    <w:rsid w:val="00113C72"/>
    <w:rsid w:val="001145F5"/>
    <w:rsid w:val="0011464F"/>
    <w:rsid w:val="001146FC"/>
    <w:rsid w:val="00117268"/>
    <w:rsid w:val="00122960"/>
    <w:rsid w:val="00123B54"/>
    <w:rsid w:val="00124F25"/>
    <w:rsid w:val="00125181"/>
    <w:rsid w:val="001265D0"/>
    <w:rsid w:val="00126A7D"/>
    <w:rsid w:val="001279E5"/>
    <w:rsid w:val="0013005A"/>
    <w:rsid w:val="00133267"/>
    <w:rsid w:val="0013534A"/>
    <w:rsid w:val="001359A5"/>
    <w:rsid w:val="00135C1B"/>
    <w:rsid w:val="00136967"/>
    <w:rsid w:val="001373D3"/>
    <w:rsid w:val="00140C22"/>
    <w:rsid w:val="00141779"/>
    <w:rsid w:val="00142785"/>
    <w:rsid w:val="00143DAC"/>
    <w:rsid w:val="0014666C"/>
    <w:rsid w:val="0014767F"/>
    <w:rsid w:val="001511A6"/>
    <w:rsid w:val="00151242"/>
    <w:rsid w:val="00152175"/>
    <w:rsid w:val="00152422"/>
    <w:rsid w:val="00153860"/>
    <w:rsid w:val="00153C4E"/>
    <w:rsid w:val="00154140"/>
    <w:rsid w:val="00154788"/>
    <w:rsid w:val="0015483E"/>
    <w:rsid w:val="00154A5F"/>
    <w:rsid w:val="00155B29"/>
    <w:rsid w:val="00155F3C"/>
    <w:rsid w:val="00156A6E"/>
    <w:rsid w:val="0015758F"/>
    <w:rsid w:val="00157DD8"/>
    <w:rsid w:val="00157F64"/>
    <w:rsid w:val="0016094D"/>
    <w:rsid w:val="00160C44"/>
    <w:rsid w:val="0016195C"/>
    <w:rsid w:val="001621C0"/>
    <w:rsid w:val="00162F93"/>
    <w:rsid w:val="00162FB3"/>
    <w:rsid w:val="0016398C"/>
    <w:rsid w:val="0016438C"/>
    <w:rsid w:val="00164CFA"/>
    <w:rsid w:val="00165E65"/>
    <w:rsid w:val="00165F95"/>
    <w:rsid w:val="00166071"/>
    <w:rsid w:val="001664DA"/>
    <w:rsid w:val="001726D6"/>
    <w:rsid w:val="00172A27"/>
    <w:rsid w:val="00173721"/>
    <w:rsid w:val="001740A1"/>
    <w:rsid w:val="00175604"/>
    <w:rsid w:val="00176829"/>
    <w:rsid w:val="00180086"/>
    <w:rsid w:val="00181AC9"/>
    <w:rsid w:val="00182336"/>
    <w:rsid w:val="0018274C"/>
    <w:rsid w:val="001827C8"/>
    <w:rsid w:val="00182C35"/>
    <w:rsid w:val="00184217"/>
    <w:rsid w:val="00184238"/>
    <w:rsid w:val="00184705"/>
    <w:rsid w:val="00184EDF"/>
    <w:rsid w:val="00184F44"/>
    <w:rsid w:val="001850FF"/>
    <w:rsid w:val="0018723C"/>
    <w:rsid w:val="0018767C"/>
    <w:rsid w:val="00191D04"/>
    <w:rsid w:val="00191FB0"/>
    <w:rsid w:val="00192B54"/>
    <w:rsid w:val="0019358D"/>
    <w:rsid w:val="001954FA"/>
    <w:rsid w:val="00197524"/>
    <w:rsid w:val="001A073D"/>
    <w:rsid w:val="001A160C"/>
    <w:rsid w:val="001A2EC1"/>
    <w:rsid w:val="001A4428"/>
    <w:rsid w:val="001A62D0"/>
    <w:rsid w:val="001A6680"/>
    <w:rsid w:val="001A724C"/>
    <w:rsid w:val="001B2129"/>
    <w:rsid w:val="001B3E77"/>
    <w:rsid w:val="001B71D1"/>
    <w:rsid w:val="001B7422"/>
    <w:rsid w:val="001B7597"/>
    <w:rsid w:val="001B7797"/>
    <w:rsid w:val="001C176F"/>
    <w:rsid w:val="001C1F51"/>
    <w:rsid w:val="001C2DC1"/>
    <w:rsid w:val="001C30AC"/>
    <w:rsid w:val="001C62E3"/>
    <w:rsid w:val="001C7E0C"/>
    <w:rsid w:val="001D0C16"/>
    <w:rsid w:val="001D1BEF"/>
    <w:rsid w:val="001D3725"/>
    <w:rsid w:val="001D4768"/>
    <w:rsid w:val="001D5F1B"/>
    <w:rsid w:val="001D666B"/>
    <w:rsid w:val="001D6FF4"/>
    <w:rsid w:val="001D78EB"/>
    <w:rsid w:val="001E0E7A"/>
    <w:rsid w:val="001E0F81"/>
    <w:rsid w:val="001E1899"/>
    <w:rsid w:val="001E217D"/>
    <w:rsid w:val="001E2D16"/>
    <w:rsid w:val="001E3BC8"/>
    <w:rsid w:val="001E4CC7"/>
    <w:rsid w:val="001E6D32"/>
    <w:rsid w:val="001E7D69"/>
    <w:rsid w:val="001E7F61"/>
    <w:rsid w:val="001F00EA"/>
    <w:rsid w:val="001F1193"/>
    <w:rsid w:val="001F1290"/>
    <w:rsid w:val="001F1D2C"/>
    <w:rsid w:val="001F22D6"/>
    <w:rsid w:val="001F29EA"/>
    <w:rsid w:val="001F348C"/>
    <w:rsid w:val="001F4707"/>
    <w:rsid w:val="001F5ADB"/>
    <w:rsid w:val="001F5BBA"/>
    <w:rsid w:val="001F6A01"/>
    <w:rsid w:val="001F7F67"/>
    <w:rsid w:val="00202364"/>
    <w:rsid w:val="00202622"/>
    <w:rsid w:val="00204014"/>
    <w:rsid w:val="002043C9"/>
    <w:rsid w:val="00205BD8"/>
    <w:rsid w:val="00206C63"/>
    <w:rsid w:val="00210541"/>
    <w:rsid w:val="00215642"/>
    <w:rsid w:val="00216C92"/>
    <w:rsid w:val="00217030"/>
    <w:rsid w:val="00220C84"/>
    <w:rsid w:val="002224BE"/>
    <w:rsid w:val="002236DE"/>
    <w:rsid w:val="00226A3E"/>
    <w:rsid w:val="00227B4B"/>
    <w:rsid w:val="0023039C"/>
    <w:rsid w:val="002304B8"/>
    <w:rsid w:val="002309C1"/>
    <w:rsid w:val="00230F51"/>
    <w:rsid w:val="0023236C"/>
    <w:rsid w:val="00232C63"/>
    <w:rsid w:val="00232DEF"/>
    <w:rsid w:val="00232E9A"/>
    <w:rsid w:val="002342AE"/>
    <w:rsid w:val="00234441"/>
    <w:rsid w:val="002344BC"/>
    <w:rsid w:val="002353C9"/>
    <w:rsid w:val="00236A87"/>
    <w:rsid w:val="00237EF0"/>
    <w:rsid w:val="0024209C"/>
    <w:rsid w:val="00243302"/>
    <w:rsid w:val="00244F9D"/>
    <w:rsid w:val="002452A9"/>
    <w:rsid w:val="00246913"/>
    <w:rsid w:val="00247343"/>
    <w:rsid w:val="00252A67"/>
    <w:rsid w:val="00253992"/>
    <w:rsid w:val="002544E3"/>
    <w:rsid w:val="00254F36"/>
    <w:rsid w:val="00256161"/>
    <w:rsid w:val="0025621B"/>
    <w:rsid w:val="0025623F"/>
    <w:rsid w:val="0025638A"/>
    <w:rsid w:val="0025782A"/>
    <w:rsid w:val="002601D9"/>
    <w:rsid w:val="0026130D"/>
    <w:rsid w:val="00262059"/>
    <w:rsid w:val="00262F2D"/>
    <w:rsid w:val="002630BB"/>
    <w:rsid w:val="00264510"/>
    <w:rsid w:val="002645BC"/>
    <w:rsid w:val="00264BA1"/>
    <w:rsid w:val="00264E69"/>
    <w:rsid w:val="00265BB8"/>
    <w:rsid w:val="00265F66"/>
    <w:rsid w:val="00266F9C"/>
    <w:rsid w:val="0026730F"/>
    <w:rsid w:val="00270154"/>
    <w:rsid w:val="00270AA4"/>
    <w:rsid w:val="00270AE9"/>
    <w:rsid w:val="00270BE1"/>
    <w:rsid w:val="002716AF"/>
    <w:rsid w:val="00273A20"/>
    <w:rsid w:val="00273A33"/>
    <w:rsid w:val="00274577"/>
    <w:rsid w:val="00274CC3"/>
    <w:rsid w:val="00274CE5"/>
    <w:rsid w:val="0027580A"/>
    <w:rsid w:val="002758EC"/>
    <w:rsid w:val="002779B8"/>
    <w:rsid w:val="00277D9C"/>
    <w:rsid w:val="002808CB"/>
    <w:rsid w:val="00281FBA"/>
    <w:rsid w:val="00282CD2"/>
    <w:rsid w:val="002845B2"/>
    <w:rsid w:val="00284855"/>
    <w:rsid w:val="00285447"/>
    <w:rsid w:val="002867D1"/>
    <w:rsid w:val="00286A09"/>
    <w:rsid w:val="00286A28"/>
    <w:rsid w:val="00287090"/>
    <w:rsid w:val="002871AD"/>
    <w:rsid w:val="00287FAB"/>
    <w:rsid w:val="00290E65"/>
    <w:rsid w:val="00290FAA"/>
    <w:rsid w:val="00291BF5"/>
    <w:rsid w:val="00292323"/>
    <w:rsid w:val="002924D0"/>
    <w:rsid w:val="002927A2"/>
    <w:rsid w:val="00292BAB"/>
    <w:rsid w:val="00293464"/>
    <w:rsid w:val="00293531"/>
    <w:rsid w:val="002946CE"/>
    <w:rsid w:val="0029487C"/>
    <w:rsid w:val="00294959"/>
    <w:rsid w:val="00294C76"/>
    <w:rsid w:val="002950B4"/>
    <w:rsid w:val="00295B44"/>
    <w:rsid w:val="0029660E"/>
    <w:rsid w:val="002968E7"/>
    <w:rsid w:val="00297110"/>
    <w:rsid w:val="00297711"/>
    <w:rsid w:val="002A0CB8"/>
    <w:rsid w:val="002A13C9"/>
    <w:rsid w:val="002A1415"/>
    <w:rsid w:val="002A3F1C"/>
    <w:rsid w:val="002A41CC"/>
    <w:rsid w:val="002A6ECB"/>
    <w:rsid w:val="002A74A2"/>
    <w:rsid w:val="002A7932"/>
    <w:rsid w:val="002A7E44"/>
    <w:rsid w:val="002B006E"/>
    <w:rsid w:val="002B07E7"/>
    <w:rsid w:val="002B0FA5"/>
    <w:rsid w:val="002B1AA0"/>
    <w:rsid w:val="002B203D"/>
    <w:rsid w:val="002B2154"/>
    <w:rsid w:val="002B3285"/>
    <w:rsid w:val="002B3ACE"/>
    <w:rsid w:val="002B5C88"/>
    <w:rsid w:val="002B6C3C"/>
    <w:rsid w:val="002C1264"/>
    <w:rsid w:val="002C17D5"/>
    <w:rsid w:val="002C27DF"/>
    <w:rsid w:val="002C2AED"/>
    <w:rsid w:val="002C391A"/>
    <w:rsid w:val="002C3C2A"/>
    <w:rsid w:val="002C428D"/>
    <w:rsid w:val="002C4449"/>
    <w:rsid w:val="002D0FCB"/>
    <w:rsid w:val="002D340D"/>
    <w:rsid w:val="002D37A1"/>
    <w:rsid w:val="002D395B"/>
    <w:rsid w:val="002D3E91"/>
    <w:rsid w:val="002D5553"/>
    <w:rsid w:val="002D6CDD"/>
    <w:rsid w:val="002E06B9"/>
    <w:rsid w:val="002E073C"/>
    <w:rsid w:val="002E0DC7"/>
    <w:rsid w:val="002E2712"/>
    <w:rsid w:val="002E4918"/>
    <w:rsid w:val="002E50A7"/>
    <w:rsid w:val="002E578E"/>
    <w:rsid w:val="002E6413"/>
    <w:rsid w:val="002E7350"/>
    <w:rsid w:val="002E7614"/>
    <w:rsid w:val="002F25BF"/>
    <w:rsid w:val="002F2B61"/>
    <w:rsid w:val="002F3445"/>
    <w:rsid w:val="002F6238"/>
    <w:rsid w:val="002F67BD"/>
    <w:rsid w:val="003009F3"/>
    <w:rsid w:val="0030124F"/>
    <w:rsid w:val="00301445"/>
    <w:rsid w:val="00301694"/>
    <w:rsid w:val="003023B5"/>
    <w:rsid w:val="00302B5A"/>
    <w:rsid w:val="0030405A"/>
    <w:rsid w:val="0030410A"/>
    <w:rsid w:val="00307A95"/>
    <w:rsid w:val="00310711"/>
    <w:rsid w:val="003111DD"/>
    <w:rsid w:val="00311A5F"/>
    <w:rsid w:val="00311C96"/>
    <w:rsid w:val="0031203F"/>
    <w:rsid w:val="0031380D"/>
    <w:rsid w:val="0031383F"/>
    <w:rsid w:val="00314B4D"/>
    <w:rsid w:val="0031502C"/>
    <w:rsid w:val="003159D0"/>
    <w:rsid w:val="0031711F"/>
    <w:rsid w:val="00320128"/>
    <w:rsid w:val="00321A05"/>
    <w:rsid w:val="00322C71"/>
    <w:rsid w:val="00323941"/>
    <w:rsid w:val="00324F57"/>
    <w:rsid w:val="00325E52"/>
    <w:rsid w:val="00325E85"/>
    <w:rsid w:val="0032609C"/>
    <w:rsid w:val="0032742C"/>
    <w:rsid w:val="00327546"/>
    <w:rsid w:val="003303EA"/>
    <w:rsid w:val="00331FFA"/>
    <w:rsid w:val="00332CA1"/>
    <w:rsid w:val="00333132"/>
    <w:rsid w:val="0033379F"/>
    <w:rsid w:val="00334E68"/>
    <w:rsid w:val="003357D8"/>
    <w:rsid w:val="00336B23"/>
    <w:rsid w:val="00342B9E"/>
    <w:rsid w:val="00343E67"/>
    <w:rsid w:val="00344610"/>
    <w:rsid w:val="00346944"/>
    <w:rsid w:val="00347D5F"/>
    <w:rsid w:val="003505AD"/>
    <w:rsid w:val="00352A50"/>
    <w:rsid w:val="00353207"/>
    <w:rsid w:val="00353CA9"/>
    <w:rsid w:val="00354167"/>
    <w:rsid w:val="00354219"/>
    <w:rsid w:val="003544A6"/>
    <w:rsid w:val="00354E21"/>
    <w:rsid w:val="003559BD"/>
    <w:rsid w:val="00356272"/>
    <w:rsid w:val="003564A1"/>
    <w:rsid w:val="00356781"/>
    <w:rsid w:val="003576EE"/>
    <w:rsid w:val="00357DC6"/>
    <w:rsid w:val="00362524"/>
    <w:rsid w:val="00362F6C"/>
    <w:rsid w:val="00365B97"/>
    <w:rsid w:val="00366F05"/>
    <w:rsid w:val="003679E9"/>
    <w:rsid w:val="00367B14"/>
    <w:rsid w:val="00367F58"/>
    <w:rsid w:val="003709CB"/>
    <w:rsid w:val="00370AD2"/>
    <w:rsid w:val="00371EE3"/>
    <w:rsid w:val="00372DA6"/>
    <w:rsid w:val="00373A39"/>
    <w:rsid w:val="00373D28"/>
    <w:rsid w:val="00374163"/>
    <w:rsid w:val="00376435"/>
    <w:rsid w:val="00376C80"/>
    <w:rsid w:val="00377E09"/>
    <w:rsid w:val="00381040"/>
    <w:rsid w:val="00381D02"/>
    <w:rsid w:val="003824B7"/>
    <w:rsid w:val="00384BDB"/>
    <w:rsid w:val="00385489"/>
    <w:rsid w:val="00385D13"/>
    <w:rsid w:val="003913AB"/>
    <w:rsid w:val="003919B1"/>
    <w:rsid w:val="00392011"/>
    <w:rsid w:val="0039229B"/>
    <w:rsid w:val="00392920"/>
    <w:rsid w:val="0039338C"/>
    <w:rsid w:val="0039641F"/>
    <w:rsid w:val="00396F9A"/>
    <w:rsid w:val="003A41AE"/>
    <w:rsid w:val="003A42D1"/>
    <w:rsid w:val="003A44A1"/>
    <w:rsid w:val="003A4B1B"/>
    <w:rsid w:val="003A53AA"/>
    <w:rsid w:val="003A587F"/>
    <w:rsid w:val="003A5D7B"/>
    <w:rsid w:val="003A7AFA"/>
    <w:rsid w:val="003B11ED"/>
    <w:rsid w:val="003B1761"/>
    <w:rsid w:val="003B41DE"/>
    <w:rsid w:val="003B5B1A"/>
    <w:rsid w:val="003B5EBB"/>
    <w:rsid w:val="003B6708"/>
    <w:rsid w:val="003B6A96"/>
    <w:rsid w:val="003B6A98"/>
    <w:rsid w:val="003B71F1"/>
    <w:rsid w:val="003B76DC"/>
    <w:rsid w:val="003C0DA8"/>
    <w:rsid w:val="003C1552"/>
    <w:rsid w:val="003C176E"/>
    <w:rsid w:val="003C2019"/>
    <w:rsid w:val="003C35BC"/>
    <w:rsid w:val="003C468C"/>
    <w:rsid w:val="003C46BE"/>
    <w:rsid w:val="003C510E"/>
    <w:rsid w:val="003C5705"/>
    <w:rsid w:val="003D0404"/>
    <w:rsid w:val="003D1E57"/>
    <w:rsid w:val="003D23E9"/>
    <w:rsid w:val="003D4A2F"/>
    <w:rsid w:val="003D51F6"/>
    <w:rsid w:val="003D5AF6"/>
    <w:rsid w:val="003D5E49"/>
    <w:rsid w:val="003E2008"/>
    <w:rsid w:val="003E26FC"/>
    <w:rsid w:val="003E2A59"/>
    <w:rsid w:val="003E3B9B"/>
    <w:rsid w:val="003E3FC9"/>
    <w:rsid w:val="003E4520"/>
    <w:rsid w:val="003E551E"/>
    <w:rsid w:val="003E56B5"/>
    <w:rsid w:val="003E6BBC"/>
    <w:rsid w:val="003E785D"/>
    <w:rsid w:val="003F23B4"/>
    <w:rsid w:val="003F23CE"/>
    <w:rsid w:val="003F2680"/>
    <w:rsid w:val="003F2E65"/>
    <w:rsid w:val="003F3507"/>
    <w:rsid w:val="003F3D07"/>
    <w:rsid w:val="003F4767"/>
    <w:rsid w:val="003F5E20"/>
    <w:rsid w:val="003F5F2A"/>
    <w:rsid w:val="003F6B93"/>
    <w:rsid w:val="003F734F"/>
    <w:rsid w:val="003F76CC"/>
    <w:rsid w:val="00405784"/>
    <w:rsid w:val="00407C36"/>
    <w:rsid w:val="00407EB6"/>
    <w:rsid w:val="00411A04"/>
    <w:rsid w:val="00411CA3"/>
    <w:rsid w:val="00412716"/>
    <w:rsid w:val="004129BA"/>
    <w:rsid w:val="00413050"/>
    <w:rsid w:val="004137CC"/>
    <w:rsid w:val="0041557E"/>
    <w:rsid w:val="0041567C"/>
    <w:rsid w:val="00415EEE"/>
    <w:rsid w:val="0041724B"/>
    <w:rsid w:val="004213CA"/>
    <w:rsid w:val="004235A0"/>
    <w:rsid w:val="00423C6D"/>
    <w:rsid w:val="004255FA"/>
    <w:rsid w:val="00425A1B"/>
    <w:rsid w:val="004310B9"/>
    <w:rsid w:val="00432D75"/>
    <w:rsid w:val="004344A0"/>
    <w:rsid w:val="004354C3"/>
    <w:rsid w:val="00436F07"/>
    <w:rsid w:val="004379C7"/>
    <w:rsid w:val="00437DAF"/>
    <w:rsid w:val="00437E5C"/>
    <w:rsid w:val="00440D38"/>
    <w:rsid w:val="00444342"/>
    <w:rsid w:val="00445DEC"/>
    <w:rsid w:val="004515DA"/>
    <w:rsid w:val="00451896"/>
    <w:rsid w:val="00453BD2"/>
    <w:rsid w:val="00453BF9"/>
    <w:rsid w:val="00454E05"/>
    <w:rsid w:val="004552EB"/>
    <w:rsid w:val="00457A3B"/>
    <w:rsid w:val="00460701"/>
    <w:rsid w:val="00461FED"/>
    <w:rsid w:val="0046285E"/>
    <w:rsid w:val="0046463C"/>
    <w:rsid w:val="0046496D"/>
    <w:rsid w:val="0046550B"/>
    <w:rsid w:val="004657D0"/>
    <w:rsid w:val="00465B9F"/>
    <w:rsid w:val="00466300"/>
    <w:rsid w:val="0046717A"/>
    <w:rsid w:val="0046751A"/>
    <w:rsid w:val="00470610"/>
    <w:rsid w:val="00472E36"/>
    <w:rsid w:val="00473020"/>
    <w:rsid w:val="00473FBC"/>
    <w:rsid w:val="0047647C"/>
    <w:rsid w:val="004764D7"/>
    <w:rsid w:val="00476875"/>
    <w:rsid w:val="00476D27"/>
    <w:rsid w:val="004803FA"/>
    <w:rsid w:val="004805B0"/>
    <w:rsid w:val="00480C3F"/>
    <w:rsid w:val="00481283"/>
    <w:rsid w:val="004814F5"/>
    <w:rsid w:val="004824A2"/>
    <w:rsid w:val="00482522"/>
    <w:rsid w:val="00485124"/>
    <w:rsid w:val="00487849"/>
    <w:rsid w:val="00487B68"/>
    <w:rsid w:val="00487C67"/>
    <w:rsid w:val="00487C77"/>
    <w:rsid w:val="00490B57"/>
    <w:rsid w:val="00491FE7"/>
    <w:rsid w:val="004925E2"/>
    <w:rsid w:val="0049289C"/>
    <w:rsid w:val="00492DA3"/>
    <w:rsid w:val="004945D3"/>
    <w:rsid w:val="00494FFB"/>
    <w:rsid w:val="00495E62"/>
    <w:rsid w:val="00496AB0"/>
    <w:rsid w:val="00496B2E"/>
    <w:rsid w:val="0049716D"/>
    <w:rsid w:val="00497B88"/>
    <w:rsid w:val="004A01C6"/>
    <w:rsid w:val="004A08C9"/>
    <w:rsid w:val="004A0AD8"/>
    <w:rsid w:val="004A3049"/>
    <w:rsid w:val="004A3B02"/>
    <w:rsid w:val="004A53E6"/>
    <w:rsid w:val="004A70F5"/>
    <w:rsid w:val="004A72EE"/>
    <w:rsid w:val="004B0D73"/>
    <w:rsid w:val="004B1A21"/>
    <w:rsid w:val="004B2B05"/>
    <w:rsid w:val="004B3BA0"/>
    <w:rsid w:val="004B47CD"/>
    <w:rsid w:val="004B48CF"/>
    <w:rsid w:val="004B4CBE"/>
    <w:rsid w:val="004B5A26"/>
    <w:rsid w:val="004B623E"/>
    <w:rsid w:val="004B6505"/>
    <w:rsid w:val="004B651B"/>
    <w:rsid w:val="004B68CB"/>
    <w:rsid w:val="004B6D94"/>
    <w:rsid w:val="004C0085"/>
    <w:rsid w:val="004C0616"/>
    <w:rsid w:val="004C1307"/>
    <w:rsid w:val="004C18BA"/>
    <w:rsid w:val="004C18D5"/>
    <w:rsid w:val="004C19D8"/>
    <w:rsid w:val="004C4A0C"/>
    <w:rsid w:val="004C544A"/>
    <w:rsid w:val="004C5C68"/>
    <w:rsid w:val="004C5D28"/>
    <w:rsid w:val="004C60CA"/>
    <w:rsid w:val="004C63A3"/>
    <w:rsid w:val="004C6634"/>
    <w:rsid w:val="004C713F"/>
    <w:rsid w:val="004D1BF5"/>
    <w:rsid w:val="004D272A"/>
    <w:rsid w:val="004D344D"/>
    <w:rsid w:val="004D36DD"/>
    <w:rsid w:val="004D3AB5"/>
    <w:rsid w:val="004D55D2"/>
    <w:rsid w:val="004D6899"/>
    <w:rsid w:val="004D720D"/>
    <w:rsid w:val="004D7588"/>
    <w:rsid w:val="004E019D"/>
    <w:rsid w:val="004E1D7D"/>
    <w:rsid w:val="004E1EE1"/>
    <w:rsid w:val="004E43BF"/>
    <w:rsid w:val="004E4ADD"/>
    <w:rsid w:val="004E616D"/>
    <w:rsid w:val="004E6CE3"/>
    <w:rsid w:val="004E7575"/>
    <w:rsid w:val="004F073E"/>
    <w:rsid w:val="004F1218"/>
    <w:rsid w:val="004F24CE"/>
    <w:rsid w:val="004F2EA0"/>
    <w:rsid w:val="004F4778"/>
    <w:rsid w:val="004F4B7A"/>
    <w:rsid w:val="004F4DF4"/>
    <w:rsid w:val="004F5619"/>
    <w:rsid w:val="004F6815"/>
    <w:rsid w:val="004F7D82"/>
    <w:rsid w:val="00500138"/>
    <w:rsid w:val="005004F9"/>
    <w:rsid w:val="005016AD"/>
    <w:rsid w:val="00502530"/>
    <w:rsid w:val="00503F08"/>
    <w:rsid w:val="00504C68"/>
    <w:rsid w:val="005067D9"/>
    <w:rsid w:val="00511F6B"/>
    <w:rsid w:val="005125A5"/>
    <w:rsid w:val="005125DC"/>
    <w:rsid w:val="0051323F"/>
    <w:rsid w:val="0051342B"/>
    <w:rsid w:val="005136B8"/>
    <w:rsid w:val="00513DAF"/>
    <w:rsid w:val="0051440D"/>
    <w:rsid w:val="0051586A"/>
    <w:rsid w:val="00516C6A"/>
    <w:rsid w:val="0052070B"/>
    <w:rsid w:val="00520FF5"/>
    <w:rsid w:val="00523D8E"/>
    <w:rsid w:val="00523EB0"/>
    <w:rsid w:val="00525877"/>
    <w:rsid w:val="00527B17"/>
    <w:rsid w:val="0053129F"/>
    <w:rsid w:val="005322E4"/>
    <w:rsid w:val="00532F6E"/>
    <w:rsid w:val="0053331C"/>
    <w:rsid w:val="005337F0"/>
    <w:rsid w:val="00535E7A"/>
    <w:rsid w:val="0053649E"/>
    <w:rsid w:val="0053650C"/>
    <w:rsid w:val="00536D6E"/>
    <w:rsid w:val="00540ACF"/>
    <w:rsid w:val="005415A1"/>
    <w:rsid w:val="00546CD3"/>
    <w:rsid w:val="005503BB"/>
    <w:rsid w:val="00550544"/>
    <w:rsid w:val="005506CB"/>
    <w:rsid w:val="00551D83"/>
    <w:rsid w:val="005522AA"/>
    <w:rsid w:val="005534FA"/>
    <w:rsid w:val="00553D84"/>
    <w:rsid w:val="005603F5"/>
    <w:rsid w:val="00561024"/>
    <w:rsid w:val="00561282"/>
    <w:rsid w:val="00561424"/>
    <w:rsid w:val="00561741"/>
    <w:rsid w:val="0056234E"/>
    <w:rsid w:val="00563347"/>
    <w:rsid w:val="00563BC2"/>
    <w:rsid w:val="00564ACF"/>
    <w:rsid w:val="00565263"/>
    <w:rsid w:val="0056564F"/>
    <w:rsid w:val="00565E31"/>
    <w:rsid w:val="0056612A"/>
    <w:rsid w:val="00570579"/>
    <w:rsid w:val="00574608"/>
    <w:rsid w:val="005746A5"/>
    <w:rsid w:val="005756B8"/>
    <w:rsid w:val="00575744"/>
    <w:rsid w:val="005758A3"/>
    <w:rsid w:val="00577C16"/>
    <w:rsid w:val="005801BF"/>
    <w:rsid w:val="0058154C"/>
    <w:rsid w:val="00581BEF"/>
    <w:rsid w:val="005829C3"/>
    <w:rsid w:val="00582C74"/>
    <w:rsid w:val="005847D4"/>
    <w:rsid w:val="005850FE"/>
    <w:rsid w:val="00585D97"/>
    <w:rsid w:val="00586FEC"/>
    <w:rsid w:val="00587015"/>
    <w:rsid w:val="0059131D"/>
    <w:rsid w:val="005915B0"/>
    <w:rsid w:val="00593731"/>
    <w:rsid w:val="00593766"/>
    <w:rsid w:val="005942BF"/>
    <w:rsid w:val="0059552B"/>
    <w:rsid w:val="0059594E"/>
    <w:rsid w:val="00597D91"/>
    <w:rsid w:val="005A0819"/>
    <w:rsid w:val="005A09E8"/>
    <w:rsid w:val="005A204D"/>
    <w:rsid w:val="005A20BB"/>
    <w:rsid w:val="005A2B48"/>
    <w:rsid w:val="005A3DED"/>
    <w:rsid w:val="005A431E"/>
    <w:rsid w:val="005A5F85"/>
    <w:rsid w:val="005A6593"/>
    <w:rsid w:val="005B089D"/>
    <w:rsid w:val="005B2EFB"/>
    <w:rsid w:val="005B3B38"/>
    <w:rsid w:val="005B489E"/>
    <w:rsid w:val="005B4AED"/>
    <w:rsid w:val="005B4AF4"/>
    <w:rsid w:val="005B6EFC"/>
    <w:rsid w:val="005B7BA8"/>
    <w:rsid w:val="005C0BBB"/>
    <w:rsid w:val="005C0CCC"/>
    <w:rsid w:val="005C0F0C"/>
    <w:rsid w:val="005C17F0"/>
    <w:rsid w:val="005C3F7F"/>
    <w:rsid w:val="005C4344"/>
    <w:rsid w:val="005C5A5B"/>
    <w:rsid w:val="005C6ADC"/>
    <w:rsid w:val="005C7838"/>
    <w:rsid w:val="005D07EC"/>
    <w:rsid w:val="005D0F89"/>
    <w:rsid w:val="005D2500"/>
    <w:rsid w:val="005D2CE7"/>
    <w:rsid w:val="005D5090"/>
    <w:rsid w:val="005D5A07"/>
    <w:rsid w:val="005D6742"/>
    <w:rsid w:val="005D6A0A"/>
    <w:rsid w:val="005D6C57"/>
    <w:rsid w:val="005E0A92"/>
    <w:rsid w:val="005E0AA6"/>
    <w:rsid w:val="005E1B07"/>
    <w:rsid w:val="005E3688"/>
    <w:rsid w:val="005E5054"/>
    <w:rsid w:val="005E5EDF"/>
    <w:rsid w:val="005E7C8E"/>
    <w:rsid w:val="005F00DD"/>
    <w:rsid w:val="005F16CD"/>
    <w:rsid w:val="005F1A01"/>
    <w:rsid w:val="005F1F42"/>
    <w:rsid w:val="005F21EA"/>
    <w:rsid w:val="005F2EDF"/>
    <w:rsid w:val="005F33A4"/>
    <w:rsid w:val="005F438D"/>
    <w:rsid w:val="005F481F"/>
    <w:rsid w:val="005F4B9A"/>
    <w:rsid w:val="005F65CD"/>
    <w:rsid w:val="005F6E6F"/>
    <w:rsid w:val="005F7D09"/>
    <w:rsid w:val="006000FB"/>
    <w:rsid w:val="00600A6A"/>
    <w:rsid w:val="00600CE0"/>
    <w:rsid w:val="00601890"/>
    <w:rsid w:val="00601AB9"/>
    <w:rsid w:val="00602225"/>
    <w:rsid w:val="00603FBA"/>
    <w:rsid w:val="006050EE"/>
    <w:rsid w:val="00606134"/>
    <w:rsid w:val="0060786E"/>
    <w:rsid w:val="006101BC"/>
    <w:rsid w:val="00610E01"/>
    <w:rsid w:val="00611179"/>
    <w:rsid w:val="006111EE"/>
    <w:rsid w:val="00611E66"/>
    <w:rsid w:val="00612774"/>
    <w:rsid w:val="00612E78"/>
    <w:rsid w:val="00613641"/>
    <w:rsid w:val="00615036"/>
    <w:rsid w:val="00615A29"/>
    <w:rsid w:val="00616767"/>
    <w:rsid w:val="00617548"/>
    <w:rsid w:val="006178AC"/>
    <w:rsid w:val="00620D5B"/>
    <w:rsid w:val="0062250B"/>
    <w:rsid w:val="0062392F"/>
    <w:rsid w:val="00624F0B"/>
    <w:rsid w:val="0062522B"/>
    <w:rsid w:val="00625695"/>
    <w:rsid w:val="006258FA"/>
    <w:rsid w:val="00626DE8"/>
    <w:rsid w:val="006273A4"/>
    <w:rsid w:val="00627862"/>
    <w:rsid w:val="00627EE2"/>
    <w:rsid w:val="00630278"/>
    <w:rsid w:val="00632D99"/>
    <w:rsid w:val="00636D42"/>
    <w:rsid w:val="00637C39"/>
    <w:rsid w:val="00642CAD"/>
    <w:rsid w:val="00645AA9"/>
    <w:rsid w:val="00647324"/>
    <w:rsid w:val="006476AA"/>
    <w:rsid w:val="00650201"/>
    <w:rsid w:val="0065027A"/>
    <w:rsid w:val="006512B9"/>
    <w:rsid w:val="006513B3"/>
    <w:rsid w:val="0065143D"/>
    <w:rsid w:val="00651537"/>
    <w:rsid w:val="006518BB"/>
    <w:rsid w:val="00653458"/>
    <w:rsid w:val="00654E42"/>
    <w:rsid w:val="00656187"/>
    <w:rsid w:val="006562D8"/>
    <w:rsid w:val="0065667F"/>
    <w:rsid w:val="00661272"/>
    <w:rsid w:val="00662436"/>
    <w:rsid w:val="00662B44"/>
    <w:rsid w:val="006634D8"/>
    <w:rsid w:val="0066653E"/>
    <w:rsid w:val="0066660C"/>
    <w:rsid w:val="006668BA"/>
    <w:rsid w:val="006672C8"/>
    <w:rsid w:val="0066795B"/>
    <w:rsid w:val="00670C50"/>
    <w:rsid w:val="006719D4"/>
    <w:rsid w:val="00672435"/>
    <w:rsid w:val="00673128"/>
    <w:rsid w:val="00673211"/>
    <w:rsid w:val="006735AF"/>
    <w:rsid w:val="00675035"/>
    <w:rsid w:val="00675481"/>
    <w:rsid w:val="00677341"/>
    <w:rsid w:val="00677B83"/>
    <w:rsid w:val="00680FED"/>
    <w:rsid w:val="0068154E"/>
    <w:rsid w:val="006831A5"/>
    <w:rsid w:val="0068320C"/>
    <w:rsid w:val="00684D7F"/>
    <w:rsid w:val="00685C15"/>
    <w:rsid w:val="006864C1"/>
    <w:rsid w:val="006878A9"/>
    <w:rsid w:val="00687C2A"/>
    <w:rsid w:val="00690A31"/>
    <w:rsid w:val="00691195"/>
    <w:rsid w:val="006926C0"/>
    <w:rsid w:val="0069282B"/>
    <w:rsid w:val="00692F7C"/>
    <w:rsid w:val="00693982"/>
    <w:rsid w:val="0069668E"/>
    <w:rsid w:val="00696A8D"/>
    <w:rsid w:val="00697561"/>
    <w:rsid w:val="006A03A9"/>
    <w:rsid w:val="006A2CF8"/>
    <w:rsid w:val="006A3CFA"/>
    <w:rsid w:val="006A4FFE"/>
    <w:rsid w:val="006A5004"/>
    <w:rsid w:val="006A6804"/>
    <w:rsid w:val="006B1B2D"/>
    <w:rsid w:val="006B2407"/>
    <w:rsid w:val="006B2FC8"/>
    <w:rsid w:val="006B33B7"/>
    <w:rsid w:val="006B714D"/>
    <w:rsid w:val="006C0940"/>
    <w:rsid w:val="006C0EDD"/>
    <w:rsid w:val="006C0FAB"/>
    <w:rsid w:val="006C2F3F"/>
    <w:rsid w:val="006C3871"/>
    <w:rsid w:val="006C391C"/>
    <w:rsid w:val="006C40DC"/>
    <w:rsid w:val="006C46B3"/>
    <w:rsid w:val="006C4991"/>
    <w:rsid w:val="006C510A"/>
    <w:rsid w:val="006C5243"/>
    <w:rsid w:val="006C6C7B"/>
    <w:rsid w:val="006C78C0"/>
    <w:rsid w:val="006D0A96"/>
    <w:rsid w:val="006D0CE9"/>
    <w:rsid w:val="006D0F61"/>
    <w:rsid w:val="006D12F3"/>
    <w:rsid w:val="006D231B"/>
    <w:rsid w:val="006D5B21"/>
    <w:rsid w:val="006D5C9A"/>
    <w:rsid w:val="006D67D0"/>
    <w:rsid w:val="006D6AE0"/>
    <w:rsid w:val="006D7230"/>
    <w:rsid w:val="006D73D6"/>
    <w:rsid w:val="006D74E7"/>
    <w:rsid w:val="006E3802"/>
    <w:rsid w:val="006E425C"/>
    <w:rsid w:val="006E4991"/>
    <w:rsid w:val="006E6B81"/>
    <w:rsid w:val="006E7221"/>
    <w:rsid w:val="006E7709"/>
    <w:rsid w:val="006E7E02"/>
    <w:rsid w:val="006F0607"/>
    <w:rsid w:val="006F20A9"/>
    <w:rsid w:val="006F2A95"/>
    <w:rsid w:val="006F32FE"/>
    <w:rsid w:val="006F4B2F"/>
    <w:rsid w:val="006F4BF1"/>
    <w:rsid w:val="006F72B3"/>
    <w:rsid w:val="0070121F"/>
    <w:rsid w:val="007018C9"/>
    <w:rsid w:val="00701B1F"/>
    <w:rsid w:val="00701D7D"/>
    <w:rsid w:val="007033C6"/>
    <w:rsid w:val="00705293"/>
    <w:rsid w:val="007058B3"/>
    <w:rsid w:val="00706795"/>
    <w:rsid w:val="00706C18"/>
    <w:rsid w:val="00707748"/>
    <w:rsid w:val="00710C35"/>
    <w:rsid w:val="00710D0E"/>
    <w:rsid w:val="00711183"/>
    <w:rsid w:val="00713412"/>
    <w:rsid w:val="00713566"/>
    <w:rsid w:val="00714E0F"/>
    <w:rsid w:val="0071569B"/>
    <w:rsid w:val="007156F3"/>
    <w:rsid w:val="00715798"/>
    <w:rsid w:val="00716C0D"/>
    <w:rsid w:val="0071753A"/>
    <w:rsid w:val="0072021A"/>
    <w:rsid w:val="007209D2"/>
    <w:rsid w:val="00720C96"/>
    <w:rsid w:val="0072108B"/>
    <w:rsid w:val="0072149C"/>
    <w:rsid w:val="00721813"/>
    <w:rsid w:val="007221BF"/>
    <w:rsid w:val="00722CB4"/>
    <w:rsid w:val="00722F60"/>
    <w:rsid w:val="00723C10"/>
    <w:rsid w:val="00724552"/>
    <w:rsid w:val="00724FA3"/>
    <w:rsid w:val="00726300"/>
    <w:rsid w:val="00726560"/>
    <w:rsid w:val="007272CC"/>
    <w:rsid w:val="007318EE"/>
    <w:rsid w:val="00732017"/>
    <w:rsid w:val="00733D56"/>
    <w:rsid w:val="0073402A"/>
    <w:rsid w:val="00734456"/>
    <w:rsid w:val="007344F5"/>
    <w:rsid w:val="007347EA"/>
    <w:rsid w:val="00734AD3"/>
    <w:rsid w:val="00734F0C"/>
    <w:rsid w:val="0073513E"/>
    <w:rsid w:val="00735DE7"/>
    <w:rsid w:val="0073716C"/>
    <w:rsid w:val="00737AB4"/>
    <w:rsid w:val="007400B6"/>
    <w:rsid w:val="00741D9A"/>
    <w:rsid w:val="00743F86"/>
    <w:rsid w:val="0074437F"/>
    <w:rsid w:val="00746618"/>
    <w:rsid w:val="00746B05"/>
    <w:rsid w:val="00747591"/>
    <w:rsid w:val="00747B7D"/>
    <w:rsid w:val="0075057B"/>
    <w:rsid w:val="00751E60"/>
    <w:rsid w:val="00753938"/>
    <w:rsid w:val="007544E6"/>
    <w:rsid w:val="00754E82"/>
    <w:rsid w:val="00757A7E"/>
    <w:rsid w:val="0076115E"/>
    <w:rsid w:val="007617BB"/>
    <w:rsid w:val="00761A68"/>
    <w:rsid w:val="007621AB"/>
    <w:rsid w:val="00762B32"/>
    <w:rsid w:val="0076337E"/>
    <w:rsid w:val="00764F15"/>
    <w:rsid w:val="007664D7"/>
    <w:rsid w:val="00767401"/>
    <w:rsid w:val="00770173"/>
    <w:rsid w:val="007709EA"/>
    <w:rsid w:val="00771C0D"/>
    <w:rsid w:val="007720BC"/>
    <w:rsid w:val="007726CE"/>
    <w:rsid w:val="00772D08"/>
    <w:rsid w:val="00773100"/>
    <w:rsid w:val="00773C69"/>
    <w:rsid w:val="00773E5F"/>
    <w:rsid w:val="00774E8A"/>
    <w:rsid w:val="007752A1"/>
    <w:rsid w:val="007813EF"/>
    <w:rsid w:val="00782136"/>
    <w:rsid w:val="00782DD7"/>
    <w:rsid w:val="00784CFF"/>
    <w:rsid w:val="00785BCD"/>
    <w:rsid w:val="00785D72"/>
    <w:rsid w:val="00790FAA"/>
    <w:rsid w:val="007929E4"/>
    <w:rsid w:val="00792A51"/>
    <w:rsid w:val="00792CF0"/>
    <w:rsid w:val="00793BEE"/>
    <w:rsid w:val="00794788"/>
    <w:rsid w:val="007960F3"/>
    <w:rsid w:val="00796CE7"/>
    <w:rsid w:val="007A04E6"/>
    <w:rsid w:val="007A1658"/>
    <w:rsid w:val="007A4118"/>
    <w:rsid w:val="007A5AD6"/>
    <w:rsid w:val="007A64CA"/>
    <w:rsid w:val="007B12D4"/>
    <w:rsid w:val="007B292A"/>
    <w:rsid w:val="007B5E70"/>
    <w:rsid w:val="007B6463"/>
    <w:rsid w:val="007B79F8"/>
    <w:rsid w:val="007C07C0"/>
    <w:rsid w:val="007C0C2C"/>
    <w:rsid w:val="007C1224"/>
    <w:rsid w:val="007C1526"/>
    <w:rsid w:val="007C1FDB"/>
    <w:rsid w:val="007C2CDB"/>
    <w:rsid w:val="007C4742"/>
    <w:rsid w:val="007C48A0"/>
    <w:rsid w:val="007C4942"/>
    <w:rsid w:val="007C5278"/>
    <w:rsid w:val="007C5BE5"/>
    <w:rsid w:val="007C6DBF"/>
    <w:rsid w:val="007C7511"/>
    <w:rsid w:val="007D095E"/>
    <w:rsid w:val="007D09D7"/>
    <w:rsid w:val="007D2F53"/>
    <w:rsid w:val="007D3333"/>
    <w:rsid w:val="007D4A01"/>
    <w:rsid w:val="007D4FAF"/>
    <w:rsid w:val="007D5925"/>
    <w:rsid w:val="007D6A53"/>
    <w:rsid w:val="007E0361"/>
    <w:rsid w:val="007E063B"/>
    <w:rsid w:val="007E19F7"/>
    <w:rsid w:val="007E21AC"/>
    <w:rsid w:val="007E2A05"/>
    <w:rsid w:val="007E2EF7"/>
    <w:rsid w:val="007E3ACB"/>
    <w:rsid w:val="007E53C8"/>
    <w:rsid w:val="007E57AD"/>
    <w:rsid w:val="007E66B2"/>
    <w:rsid w:val="007E6C5B"/>
    <w:rsid w:val="007E7927"/>
    <w:rsid w:val="007F0BC7"/>
    <w:rsid w:val="007F27CB"/>
    <w:rsid w:val="007F2CBC"/>
    <w:rsid w:val="007F4010"/>
    <w:rsid w:val="007F4335"/>
    <w:rsid w:val="007F4BE7"/>
    <w:rsid w:val="007F593F"/>
    <w:rsid w:val="007F5BBE"/>
    <w:rsid w:val="007F6D8A"/>
    <w:rsid w:val="007F70C4"/>
    <w:rsid w:val="00800542"/>
    <w:rsid w:val="00800EB7"/>
    <w:rsid w:val="008021DD"/>
    <w:rsid w:val="008024F0"/>
    <w:rsid w:val="00802957"/>
    <w:rsid w:val="00802ADC"/>
    <w:rsid w:val="00802D3C"/>
    <w:rsid w:val="008037DA"/>
    <w:rsid w:val="00803C5D"/>
    <w:rsid w:val="00803CCB"/>
    <w:rsid w:val="008049F7"/>
    <w:rsid w:val="0080523D"/>
    <w:rsid w:val="00805712"/>
    <w:rsid w:val="00805CEF"/>
    <w:rsid w:val="00806705"/>
    <w:rsid w:val="00806B9A"/>
    <w:rsid w:val="00806E3E"/>
    <w:rsid w:val="008109D3"/>
    <w:rsid w:val="00810A59"/>
    <w:rsid w:val="00811345"/>
    <w:rsid w:val="00812674"/>
    <w:rsid w:val="00812904"/>
    <w:rsid w:val="00814672"/>
    <w:rsid w:val="00814795"/>
    <w:rsid w:val="008162C0"/>
    <w:rsid w:val="00816C80"/>
    <w:rsid w:val="0081738B"/>
    <w:rsid w:val="008175BA"/>
    <w:rsid w:val="00817DB2"/>
    <w:rsid w:val="00820862"/>
    <w:rsid w:val="008209CC"/>
    <w:rsid w:val="0082160A"/>
    <w:rsid w:val="00822148"/>
    <w:rsid w:val="008235BC"/>
    <w:rsid w:val="00824B8C"/>
    <w:rsid w:val="00825746"/>
    <w:rsid w:val="008269E6"/>
    <w:rsid w:val="00827180"/>
    <w:rsid w:val="00827440"/>
    <w:rsid w:val="008275D4"/>
    <w:rsid w:val="00827C5C"/>
    <w:rsid w:val="00827F31"/>
    <w:rsid w:val="00830CD6"/>
    <w:rsid w:val="008319C5"/>
    <w:rsid w:val="00831DDB"/>
    <w:rsid w:val="00832086"/>
    <w:rsid w:val="008322BB"/>
    <w:rsid w:val="00832B00"/>
    <w:rsid w:val="00833765"/>
    <w:rsid w:val="00833E7B"/>
    <w:rsid w:val="00834035"/>
    <w:rsid w:val="008362A4"/>
    <w:rsid w:val="00836FBB"/>
    <w:rsid w:val="00840333"/>
    <w:rsid w:val="0084128C"/>
    <w:rsid w:val="00842583"/>
    <w:rsid w:val="008435B7"/>
    <w:rsid w:val="0084386C"/>
    <w:rsid w:val="00844285"/>
    <w:rsid w:val="008449E0"/>
    <w:rsid w:val="00845430"/>
    <w:rsid w:val="00846107"/>
    <w:rsid w:val="00847CAC"/>
    <w:rsid w:val="00847F07"/>
    <w:rsid w:val="00850292"/>
    <w:rsid w:val="00851540"/>
    <w:rsid w:val="008519D7"/>
    <w:rsid w:val="00852233"/>
    <w:rsid w:val="00852D46"/>
    <w:rsid w:val="008530A0"/>
    <w:rsid w:val="00853DE9"/>
    <w:rsid w:val="008543DC"/>
    <w:rsid w:val="00854D3E"/>
    <w:rsid w:val="00855321"/>
    <w:rsid w:val="00855594"/>
    <w:rsid w:val="00855F5C"/>
    <w:rsid w:val="008606AB"/>
    <w:rsid w:val="00861327"/>
    <w:rsid w:val="00861873"/>
    <w:rsid w:val="00863361"/>
    <w:rsid w:val="00864807"/>
    <w:rsid w:val="008668B5"/>
    <w:rsid w:val="0087139C"/>
    <w:rsid w:val="00871E31"/>
    <w:rsid w:val="00871F58"/>
    <w:rsid w:val="00872C46"/>
    <w:rsid w:val="00872F42"/>
    <w:rsid w:val="00874596"/>
    <w:rsid w:val="00874B76"/>
    <w:rsid w:val="0087524C"/>
    <w:rsid w:val="00876648"/>
    <w:rsid w:val="00876B35"/>
    <w:rsid w:val="0087766A"/>
    <w:rsid w:val="00880C31"/>
    <w:rsid w:val="00882235"/>
    <w:rsid w:val="00884EFF"/>
    <w:rsid w:val="00885073"/>
    <w:rsid w:val="0088689D"/>
    <w:rsid w:val="00887C9D"/>
    <w:rsid w:val="008902EF"/>
    <w:rsid w:val="0089189B"/>
    <w:rsid w:val="008925A4"/>
    <w:rsid w:val="00893E93"/>
    <w:rsid w:val="00894412"/>
    <w:rsid w:val="008957A9"/>
    <w:rsid w:val="00895D24"/>
    <w:rsid w:val="00896DD3"/>
    <w:rsid w:val="00897016"/>
    <w:rsid w:val="008978BD"/>
    <w:rsid w:val="00897BD5"/>
    <w:rsid w:val="008A061B"/>
    <w:rsid w:val="008A06CC"/>
    <w:rsid w:val="008A0846"/>
    <w:rsid w:val="008A0E33"/>
    <w:rsid w:val="008A131A"/>
    <w:rsid w:val="008A20EE"/>
    <w:rsid w:val="008A23C3"/>
    <w:rsid w:val="008A2ECC"/>
    <w:rsid w:val="008A44F4"/>
    <w:rsid w:val="008A4CB3"/>
    <w:rsid w:val="008A5BD9"/>
    <w:rsid w:val="008A69CE"/>
    <w:rsid w:val="008A6C0A"/>
    <w:rsid w:val="008A6DB1"/>
    <w:rsid w:val="008A79FB"/>
    <w:rsid w:val="008B04AD"/>
    <w:rsid w:val="008B0951"/>
    <w:rsid w:val="008B1307"/>
    <w:rsid w:val="008B1F2B"/>
    <w:rsid w:val="008B2783"/>
    <w:rsid w:val="008B27D4"/>
    <w:rsid w:val="008B3C32"/>
    <w:rsid w:val="008B428D"/>
    <w:rsid w:val="008B5614"/>
    <w:rsid w:val="008B5BD5"/>
    <w:rsid w:val="008B73C2"/>
    <w:rsid w:val="008B7799"/>
    <w:rsid w:val="008C0529"/>
    <w:rsid w:val="008C2C01"/>
    <w:rsid w:val="008C2F75"/>
    <w:rsid w:val="008C41A1"/>
    <w:rsid w:val="008C4A3A"/>
    <w:rsid w:val="008C4A41"/>
    <w:rsid w:val="008C4BF8"/>
    <w:rsid w:val="008C5057"/>
    <w:rsid w:val="008C600B"/>
    <w:rsid w:val="008C6C58"/>
    <w:rsid w:val="008C6ED7"/>
    <w:rsid w:val="008D0060"/>
    <w:rsid w:val="008D18E8"/>
    <w:rsid w:val="008D1CCB"/>
    <w:rsid w:val="008D4ACB"/>
    <w:rsid w:val="008D4F7D"/>
    <w:rsid w:val="008D502A"/>
    <w:rsid w:val="008D5421"/>
    <w:rsid w:val="008D6293"/>
    <w:rsid w:val="008D761A"/>
    <w:rsid w:val="008E2642"/>
    <w:rsid w:val="008E2715"/>
    <w:rsid w:val="008E2C19"/>
    <w:rsid w:val="008E3221"/>
    <w:rsid w:val="008E3317"/>
    <w:rsid w:val="008E6676"/>
    <w:rsid w:val="008E6D8F"/>
    <w:rsid w:val="008E728A"/>
    <w:rsid w:val="008E7EDF"/>
    <w:rsid w:val="008F0048"/>
    <w:rsid w:val="008F1BA1"/>
    <w:rsid w:val="008F2A6E"/>
    <w:rsid w:val="008F4156"/>
    <w:rsid w:val="008F783E"/>
    <w:rsid w:val="00900743"/>
    <w:rsid w:val="009007DA"/>
    <w:rsid w:val="0090156F"/>
    <w:rsid w:val="0090231F"/>
    <w:rsid w:val="009029AD"/>
    <w:rsid w:val="00903641"/>
    <w:rsid w:val="00904137"/>
    <w:rsid w:val="009049D8"/>
    <w:rsid w:val="009056D2"/>
    <w:rsid w:val="00906786"/>
    <w:rsid w:val="00910059"/>
    <w:rsid w:val="00911BDC"/>
    <w:rsid w:val="00911D31"/>
    <w:rsid w:val="00911E92"/>
    <w:rsid w:val="00913B0F"/>
    <w:rsid w:val="00915617"/>
    <w:rsid w:val="00915AB3"/>
    <w:rsid w:val="00915BBD"/>
    <w:rsid w:val="00916F31"/>
    <w:rsid w:val="00916FE3"/>
    <w:rsid w:val="0092199D"/>
    <w:rsid w:val="00922D51"/>
    <w:rsid w:val="00923B1D"/>
    <w:rsid w:val="00925907"/>
    <w:rsid w:val="009270E1"/>
    <w:rsid w:val="0092799C"/>
    <w:rsid w:val="00927D09"/>
    <w:rsid w:val="00927E19"/>
    <w:rsid w:val="00927F7C"/>
    <w:rsid w:val="00930B20"/>
    <w:rsid w:val="00931B96"/>
    <w:rsid w:val="0093341F"/>
    <w:rsid w:val="00936276"/>
    <w:rsid w:val="00937E96"/>
    <w:rsid w:val="00940A67"/>
    <w:rsid w:val="00940FB0"/>
    <w:rsid w:val="00943D40"/>
    <w:rsid w:val="0094547C"/>
    <w:rsid w:val="0094793A"/>
    <w:rsid w:val="00950886"/>
    <w:rsid w:val="00951FEE"/>
    <w:rsid w:val="0095206A"/>
    <w:rsid w:val="009528F8"/>
    <w:rsid w:val="0095458F"/>
    <w:rsid w:val="0095798F"/>
    <w:rsid w:val="00957F2C"/>
    <w:rsid w:val="00960342"/>
    <w:rsid w:val="00961709"/>
    <w:rsid w:val="00962FB2"/>
    <w:rsid w:val="00963251"/>
    <w:rsid w:val="00963D0E"/>
    <w:rsid w:val="00965A6A"/>
    <w:rsid w:val="009664EC"/>
    <w:rsid w:val="009669D0"/>
    <w:rsid w:val="00967EED"/>
    <w:rsid w:val="00971C9C"/>
    <w:rsid w:val="009738B5"/>
    <w:rsid w:val="00974919"/>
    <w:rsid w:val="00974D68"/>
    <w:rsid w:val="009752B7"/>
    <w:rsid w:val="00975A95"/>
    <w:rsid w:val="00976BFF"/>
    <w:rsid w:val="00980005"/>
    <w:rsid w:val="009830E3"/>
    <w:rsid w:val="00985537"/>
    <w:rsid w:val="00985EEE"/>
    <w:rsid w:val="0098631F"/>
    <w:rsid w:val="0098745C"/>
    <w:rsid w:val="00987C5D"/>
    <w:rsid w:val="00987C5F"/>
    <w:rsid w:val="00990FCA"/>
    <w:rsid w:val="0099300F"/>
    <w:rsid w:val="00996207"/>
    <w:rsid w:val="00997D30"/>
    <w:rsid w:val="00997E8B"/>
    <w:rsid w:val="009A06C3"/>
    <w:rsid w:val="009A1474"/>
    <w:rsid w:val="009A2F79"/>
    <w:rsid w:val="009A34C0"/>
    <w:rsid w:val="009A48EE"/>
    <w:rsid w:val="009A54AC"/>
    <w:rsid w:val="009A5511"/>
    <w:rsid w:val="009A57E3"/>
    <w:rsid w:val="009A5857"/>
    <w:rsid w:val="009A7CA6"/>
    <w:rsid w:val="009B0FD1"/>
    <w:rsid w:val="009B1ECF"/>
    <w:rsid w:val="009B3311"/>
    <w:rsid w:val="009B3461"/>
    <w:rsid w:val="009B35DD"/>
    <w:rsid w:val="009B4334"/>
    <w:rsid w:val="009B5409"/>
    <w:rsid w:val="009B5A8B"/>
    <w:rsid w:val="009C00BB"/>
    <w:rsid w:val="009C081E"/>
    <w:rsid w:val="009C11A8"/>
    <w:rsid w:val="009C17E7"/>
    <w:rsid w:val="009C2015"/>
    <w:rsid w:val="009C3205"/>
    <w:rsid w:val="009C4B56"/>
    <w:rsid w:val="009C616D"/>
    <w:rsid w:val="009C65BD"/>
    <w:rsid w:val="009D05BE"/>
    <w:rsid w:val="009D10AF"/>
    <w:rsid w:val="009D10DD"/>
    <w:rsid w:val="009D1274"/>
    <w:rsid w:val="009D1F36"/>
    <w:rsid w:val="009D33E4"/>
    <w:rsid w:val="009D43B2"/>
    <w:rsid w:val="009D6629"/>
    <w:rsid w:val="009D6D1B"/>
    <w:rsid w:val="009D7CE8"/>
    <w:rsid w:val="009E136B"/>
    <w:rsid w:val="009E296A"/>
    <w:rsid w:val="009E35E5"/>
    <w:rsid w:val="009E514D"/>
    <w:rsid w:val="009E5E0A"/>
    <w:rsid w:val="009E61B2"/>
    <w:rsid w:val="009E6D87"/>
    <w:rsid w:val="009E6DA4"/>
    <w:rsid w:val="009E70CB"/>
    <w:rsid w:val="009E70F5"/>
    <w:rsid w:val="009E79BC"/>
    <w:rsid w:val="009F0B25"/>
    <w:rsid w:val="009F10BF"/>
    <w:rsid w:val="009F14B0"/>
    <w:rsid w:val="009F25D0"/>
    <w:rsid w:val="009F4089"/>
    <w:rsid w:val="009F4339"/>
    <w:rsid w:val="009F504C"/>
    <w:rsid w:val="009F5AA8"/>
    <w:rsid w:val="009F61A0"/>
    <w:rsid w:val="00A0056C"/>
    <w:rsid w:val="00A005A6"/>
    <w:rsid w:val="00A00CA5"/>
    <w:rsid w:val="00A019B8"/>
    <w:rsid w:val="00A02555"/>
    <w:rsid w:val="00A03F0A"/>
    <w:rsid w:val="00A04100"/>
    <w:rsid w:val="00A04A29"/>
    <w:rsid w:val="00A060A7"/>
    <w:rsid w:val="00A06756"/>
    <w:rsid w:val="00A0749B"/>
    <w:rsid w:val="00A07C28"/>
    <w:rsid w:val="00A10993"/>
    <w:rsid w:val="00A12DD8"/>
    <w:rsid w:val="00A13604"/>
    <w:rsid w:val="00A14950"/>
    <w:rsid w:val="00A208DE"/>
    <w:rsid w:val="00A20F02"/>
    <w:rsid w:val="00A245F6"/>
    <w:rsid w:val="00A24C39"/>
    <w:rsid w:val="00A25804"/>
    <w:rsid w:val="00A262C2"/>
    <w:rsid w:val="00A26F9A"/>
    <w:rsid w:val="00A27752"/>
    <w:rsid w:val="00A30E0F"/>
    <w:rsid w:val="00A34135"/>
    <w:rsid w:val="00A34F4F"/>
    <w:rsid w:val="00A3642F"/>
    <w:rsid w:val="00A374A3"/>
    <w:rsid w:val="00A42C05"/>
    <w:rsid w:val="00A430B3"/>
    <w:rsid w:val="00A44610"/>
    <w:rsid w:val="00A466D9"/>
    <w:rsid w:val="00A47383"/>
    <w:rsid w:val="00A50303"/>
    <w:rsid w:val="00A509B4"/>
    <w:rsid w:val="00A50BC1"/>
    <w:rsid w:val="00A515D7"/>
    <w:rsid w:val="00A52031"/>
    <w:rsid w:val="00A528DE"/>
    <w:rsid w:val="00A53320"/>
    <w:rsid w:val="00A53E47"/>
    <w:rsid w:val="00A543CE"/>
    <w:rsid w:val="00A6244D"/>
    <w:rsid w:val="00A62F7D"/>
    <w:rsid w:val="00A637D6"/>
    <w:rsid w:val="00A63CEA"/>
    <w:rsid w:val="00A641FB"/>
    <w:rsid w:val="00A65955"/>
    <w:rsid w:val="00A659D1"/>
    <w:rsid w:val="00A66B39"/>
    <w:rsid w:val="00A7135F"/>
    <w:rsid w:val="00A713CA"/>
    <w:rsid w:val="00A7189C"/>
    <w:rsid w:val="00A736BF"/>
    <w:rsid w:val="00A75DC2"/>
    <w:rsid w:val="00A76A64"/>
    <w:rsid w:val="00A77BA9"/>
    <w:rsid w:val="00A8002C"/>
    <w:rsid w:val="00A800F0"/>
    <w:rsid w:val="00A81482"/>
    <w:rsid w:val="00A81A79"/>
    <w:rsid w:val="00A81D22"/>
    <w:rsid w:val="00A81E61"/>
    <w:rsid w:val="00A82BE2"/>
    <w:rsid w:val="00A82C04"/>
    <w:rsid w:val="00A85CA6"/>
    <w:rsid w:val="00A85FC0"/>
    <w:rsid w:val="00A8695D"/>
    <w:rsid w:val="00A8729A"/>
    <w:rsid w:val="00A87A85"/>
    <w:rsid w:val="00A9098A"/>
    <w:rsid w:val="00A920BB"/>
    <w:rsid w:val="00A94D34"/>
    <w:rsid w:val="00A95491"/>
    <w:rsid w:val="00A95A9A"/>
    <w:rsid w:val="00A95DD7"/>
    <w:rsid w:val="00A965B9"/>
    <w:rsid w:val="00A973BB"/>
    <w:rsid w:val="00A978C7"/>
    <w:rsid w:val="00AA0432"/>
    <w:rsid w:val="00AA08DC"/>
    <w:rsid w:val="00AA1C38"/>
    <w:rsid w:val="00AA2AF3"/>
    <w:rsid w:val="00AA3AA6"/>
    <w:rsid w:val="00AA3B71"/>
    <w:rsid w:val="00AA44B1"/>
    <w:rsid w:val="00AA5723"/>
    <w:rsid w:val="00AB04B6"/>
    <w:rsid w:val="00AB1092"/>
    <w:rsid w:val="00AB1A29"/>
    <w:rsid w:val="00AB2C26"/>
    <w:rsid w:val="00AB36C2"/>
    <w:rsid w:val="00AB5459"/>
    <w:rsid w:val="00AB61F7"/>
    <w:rsid w:val="00AB69FA"/>
    <w:rsid w:val="00AB6DFD"/>
    <w:rsid w:val="00AB72D7"/>
    <w:rsid w:val="00AB7767"/>
    <w:rsid w:val="00AC1898"/>
    <w:rsid w:val="00AC37E9"/>
    <w:rsid w:val="00AC476A"/>
    <w:rsid w:val="00AC5615"/>
    <w:rsid w:val="00AC5DC2"/>
    <w:rsid w:val="00AC625E"/>
    <w:rsid w:val="00AC669E"/>
    <w:rsid w:val="00AD0E34"/>
    <w:rsid w:val="00AD3A87"/>
    <w:rsid w:val="00AD3C36"/>
    <w:rsid w:val="00AD558A"/>
    <w:rsid w:val="00AD6C0B"/>
    <w:rsid w:val="00AD6D29"/>
    <w:rsid w:val="00AD762E"/>
    <w:rsid w:val="00AD7E4F"/>
    <w:rsid w:val="00AE2494"/>
    <w:rsid w:val="00AE2EE4"/>
    <w:rsid w:val="00AE3B31"/>
    <w:rsid w:val="00AE3D7D"/>
    <w:rsid w:val="00AE433F"/>
    <w:rsid w:val="00AE4A6E"/>
    <w:rsid w:val="00AE5FB0"/>
    <w:rsid w:val="00AE6A8E"/>
    <w:rsid w:val="00AF0F25"/>
    <w:rsid w:val="00AF11E8"/>
    <w:rsid w:val="00AF1A7D"/>
    <w:rsid w:val="00AF2D5A"/>
    <w:rsid w:val="00AF3219"/>
    <w:rsid w:val="00AF43EA"/>
    <w:rsid w:val="00AF5F6A"/>
    <w:rsid w:val="00AF608C"/>
    <w:rsid w:val="00AF6317"/>
    <w:rsid w:val="00AF66A5"/>
    <w:rsid w:val="00B0248F"/>
    <w:rsid w:val="00B0455C"/>
    <w:rsid w:val="00B05568"/>
    <w:rsid w:val="00B05D7E"/>
    <w:rsid w:val="00B103DA"/>
    <w:rsid w:val="00B10C32"/>
    <w:rsid w:val="00B13CFD"/>
    <w:rsid w:val="00B150D2"/>
    <w:rsid w:val="00B156B5"/>
    <w:rsid w:val="00B15DEC"/>
    <w:rsid w:val="00B168C0"/>
    <w:rsid w:val="00B16A0A"/>
    <w:rsid w:val="00B16B41"/>
    <w:rsid w:val="00B175E9"/>
    <w:rsid w:val="00B213FB"/>
    <w:rsid w:val="00B230EA"/>
    <w:rsid w:val="00B23CAF"/>
    <w:rsid w:val="00B247DE"/>
    <w:rsid w:val="00B249E0"/>
    <w:rsid w:val="00B25260"/>
    <w:rsid w:val="00B30154"/>
    <w:rsid w:val="00B30333"/>
    <w:rsid w:val="00B31560"/>
    <w:rsid w:val="00B32474"/>
    <w:rsid w:val="00B33555"/>
    <w:rsid w:val="00B3363A"/>
    <w:rsid w:val="00B33C9E"/>
    <w:rsid w:val="00B3489F"/>
    <w:rsid w:val="00B36C5E"/>
    <w:rsid w:val="00B374D3"/>
    <w:rsid w:val="00B377DC"/>
    <w:rsid w:val="00B37B15"/>
    <w:rsid w:val="00B37BAA"/>
    <w:rsid w:val="00B41A2A"/>
    <w:rsid w:val="00B4203D"/>
    <w:rsid w:val="00B42489"/>
    <w:rsid w:val="00B42D37"/>
    <w:rsid w:val="00B431CD"/>
    <w:rsid w:val="00B4452F"/>
    <w:rsid w:val="00B449C8"/>
    <w:rsid w:val="00B44FE4"/>
    <w:rsid w:val="00B45825"/>
    <w:rsid w:val="00B45AC0"/>
    <w:rsid w:val="00B4619C"/>
    <w:rsid w:val="00B46B2F"/>
    <w:rsid w:val="00B4716A"/>
    <w:rsid w:val="00B4735B"/>
    <w:rsid w:val="00B474D1"/>
    <w:rsid w:val="00B47621"/>
    <w:rsid w:val="00B5064B"/>
    <w:rsid w:val="00B51C53"/>
    <w:rsid w:val="00B51F7C"/>
    <w:rsid w:val="00B522FF"/>
    <w:rsid w:val="00B52EA4"/>
    <w:rsid w:val="00B5538A"/>
    <w:rsid w:val="00B5538D"/>
    <w:rsid w:val="00B55BB6"/>
    <w:rsid w:val="00B561ED"/>
    <w:rsid w:val="00B56A20"/>
    <w:rsid w:val="00B5778B"/>
    <w:rsid w:val="00B57CB7"/>
    <w:rsid w:val="00B6068A"/>
    <w:rsid w:val="00B6086F"/>
    <w:rsid w:val="00B61142"/>
    <w:rsid w:val="00B61C57"/>
    <w:rsid w:val="00B620EA"/>
    <w:rsid w:val="00B6226F"/>
    <w:rsid w:val="00B624FB"/>
    <w:rsid w:val="00B625BF"/>
    <w:rsid w:val="00B630DD"/>
    <w:rsid w:val="00B645E5"/>
    <w:rsid w:val="00B65772"/>
    <w:rsid w:val="00B66138"/>
    <w:rsid w:val="00B66C49"/>
    <w:rsid w:val="00B674A3"/>
    <w:rsid w:val="00B71C07"/>
    <w:rsid w:val="00B7339B"/>
    <w:rsid w:val="00B7509C"/>
    <w:rsid w:val="00B75179"/>
    <w:rsid w:val="00B7609F"/>
    <w:rsid w:val="00B76409"/>
    <w:rsid w:val="00B7664E"/>
    <w:rsid w:val="00B768BC"/>
    <w:rsid w:val="00B77B01"/>
    <w:rsid w:val="00B809B5"/>
    <w:rsid w:val="00B81D56"/>
    <w:rsid w:val="00B83D71"/>
    <w:rsid w:val="00B83F9C"/>
    <w:rsid w:val="00B8474E"/>
    <w:rsid w:val="00B84B80"/>
    <w:rsid w:val="00B84F90"/>
    <w:rsid w:val="00B86A9C"/>
    <w:rsid w:val="00B870A8"/>
    <w:rsid w:val="00B871F0"/>
    <w:rsid w:val="00B92361"/>
    <w:rsid w:val="00B931EC"/>
    <w:rsid w:val="00B93B59"/>
    <w:rsid w:val="00B93F2F"/>
    <w:rsid w:val="00B95262"/>
    <w:rsid w:val="00BA06E8"/>
    <w:rsid w:val="00BA1A55"/>
    <w:rsid w:val="00BA3803"/>
    <w:rsid w:val="00BA5F26"/>
    <w:rsid w:val="00BA7394"/>
    <w:rsid w:val="00BA7CA7"/>
    <w:rsid w:val="00BB279B"/>
    <w:rsid w:val="00BB27DD"/>
    <w:rsid w:val="00BB3DED"/>
    <w:rsid w:val="00BB4B09"/>
    <w:rsid w:val="00BB5C68"/>
    <w:rsid w:val="00BB61AC"/>
    <w:rsid w:val="00BB7CB8"/>
    <w:rsid w:val="00BB7FD1"/>
    <w:rsid w:val="00BC0077"/>
    <w:rsid w:val="00BC0DF2"/>
    <w:rsid w:val="00BC0EDA"/>
    <w:rsid w:val="00BC184A"/>
    <w:rsid w:val="00BC2ADA"/>
    <w:rsid w:val="00BC440E"/>
    <w:rsid w:val="00BC5219"/>
    <w:rsid w:val="00BC5B72"/>
    <w:rsid w:val="00BC5BA7"/>
    <w:rsid w:val="00BC5EFD"/>
    <w:rsid w:val="00BC757B"/>
    <w:rsid w:val="00BD0059"/>
    <w:rsid w:val="00BD0336"/>
    <w:rsid w:val="00BD0F33"/>
    <w:rsid w:val="00BD1729"/>
    <w:rsid w:val="00BD2543"/>
    <w:rsid w:val="00BD2A47"/>
    <w:rsid w:val="00BD47E8"/>
    <w:rsid w:val="00BD4AB9"/>
    <w:rsid w:val="00BE0115"/>
    <w:rsid w:val="00BE1605"/>
    <w:rsid w:val="00BE1DD8"/>
    <w:rsid w:val="00BE2BB9"/>
    <w:rsid w:val="00BE2CF2"/>
    <w:rsid w:val="00BE3779"/>
    <w:rsid w:val="00BE37E9"/>
    <w:rsid w:val="00BE47CD"/>
    <w:rsid w:val="00BE491C"/>
    <w:rsid w:val="00BE4BFF"/>
    <w:rsid w:val="00BE51D8"/>
    <w:rsid w:val="00BE53EA"/>
    <w:rsid w:val="00BE5BA9"/>
    <w:rsid w:val="00BF010A"/>
    <w:rsid w:val="00BF1485"/>
    <w:rsid w:val="00BF382D"/>
    <w:rsid w:val="00BF46AD"/>
    <w:rsid w:val="00BF52BD"/>
    <w:rsid w:val="00BF706B"/>
    <w:rsid w:val="00BF7B14"/>
    <w:rsid w:val="00C00703"/>
    <w:rsid w:val="00C0143A"/>
    <w:rsid w:val="00C01A8C"/>
    <w:rsid w:val="00C0210E"/>
    <w:rsid w:val="00C02AA0"/>
    <w:rsid w:val="00C03503"/>
    <w:rsid w:val="00C06B0F"/>
    <w:rsid w:val="00C0797C"/>
    <w:rsid w:val="00C13930"/>
    <w:rsid w:val="00C14B91"/>
    <w:rsid w:val="00C15EED"/>
    <w:rsid w:val="00C168D3"/>
    <w:rsid w:val="00C2182A"/>
    <w:rsid w:val="00C21B64"/>
    <w:rsid w:val="00C22BE1"/>
    <w:rsid w:val="00C23953"/>
    <w:rsid w:val="00C24C4D"/>
    <w:rsid w:val="00C27AFC"/>
    <w:rsid w:val="00C27CCA"/>
    <w:rsid w:val="00C306DF"/>
    <w:rsid w:val="00C31353"/>
    <w:rsid w:val="00C324BA"/>
    <w:rsid w:val="00C33407"/>
    <w:rsid w:val="00C36B5B"/>
    <w:rsid w:val="00C37307"/>
    <w:rsid w:val="00C37658"/>
    <w:rsid w:val="00C40A87"/>
    <w:rsid w:val="00C4140A"/>
    <w:rsid w:val="00C4238C"/>
    <w:rsid w:val="00C42658"/>
    <w:rsid w:val="00C43BD6"/>
    <w:rsid w:val="00C44682"/>
    <w:rsid w:val="00C44ED3"/>
    <w:rsid w:val="00C45107"/>
    <w:rsid w:val="00C458A8"/>
    <w:rsid w:val="00C45940"/>
    <w:rsid w:val="00C50C8B"/>
    <w:rsid w:val="00C51CA9"/>
    <w:rsid w:val="00C56CFE"/>
    <w:rsid w:val="00C57675"/>
    <w:rsid w:val="00C603FA"/>
    <w:rsid w:val="00C604C5"/>
    <w:rsid w:val="00C60AB8"/>
    <w:rsid w:val="00C64488"/>
    <w:rsid w:val="00C652F1"/>
    <w:rsid w:val="00C6548C"/>
    <w:rsid w:val="00C6629D"/>
    <w:rsid w:val="00C665D6"/>
    <w:rsid w:val="00C6741C"/>
    <w:rsid w:val="00C74FB3"/>
    <w:rsid w:val="00C80DAE"/>
    <w:rsid w:val="00C8373D"/>
    <w:rsid w:val="00C84515"/>
    <w:rsid w:val="00C85677"/>
    <w:rsid w:val="00C872DD"/>
    <w:rsid w:val="00C87A2A"/>
    <w:rsid w:val="00C91270"/>
    <w:rsid w:val="00C92645"/>
    <w:rsid w:val="00C933DB"/>
    <w:rsid w:val="00C95B62"/>
    <w:rsid w:val="00C96863"/>
    <w:rsid w:val="00CA252A"/>
    <w:rsid w:val="00CA363A"/>
    <w:rsid w:val="00CA3E46"/>
    <w:rsid w:val="00CA499D"/>
    <w:rsid w:val="00CA4C19"/>
    <w:rsid w:val="00CA53D0"/>
    <w:rsid w:val="00CA613C"/>
    <w:rsid w:val="00CA68C6"/>
    <w:rsid w:val="00CA6D5A"/>
    <w:rsid w:val="00CB0A1D"/>
    <w:rsid w:val="00CB0FB1"/>
    <w:rsid w:val="00CB1171"/>
    <w:rsid w:val="00CB1BE2"/>
    <w:rsid w:val="00CB3C62"/>
    <w:rsid w:val="00CB4B0F"/>
    <w:rsid w:val="00CB4B9E"/>
    <w:rsid w:val="00CB4DA7"/>
    <w:rsid w:val="00CB4DF6"/>
    <w:rsid w:val="00CB597E"/>
    <w:rsid w:val="00CB6864"/>
    <w:rsid w:val="00CB6AB1"/>
    <w:rsid w:val="00CB7162"/>
    <w:rsid w:val="00CC1764"/>
    <w:rsid w:val="00CC26A7"/>
    <w:rsid w:val="00CC2778"/>
    <w:rsid w:val="00CC3596"/>
    <w:rsid w:val="00CC54DD"/>
    <w:rsid w:val="00CC5C99"/>
    <w:rsid w:val="00CC636C"/>
    <w:rsid w:val="00CD1788"/>
    <w:rsid w:val="00CD23C0"/>
    <w:rsid w:val="00CD2634"/>
    <w:rsid w:val="00CD373F"/>
    <w:rsid w:val="00CD37B7"/>
    <w:rsid w:val="00CD61E5"/>
    <w:rsid w:val="00CD74EE"/>
    <w:rsid w:val="00CD793C"/>
    <w:rsid w:val="00CD79DA"/>
    <w:rsid w:val="00CD7C9D"/>
    <w:rsid w:val="00CE0578"/>
    <w:rsid w:val="00CE1396"/>
    <w:rsid w:val="00CE2B7E"/>
    <w:rsid w:val="00CE2CD5"/>
    <w:rsid w:val="00CE347B"/>
    <w:rsid w:val="00CE5BCA"/>
    <w:rsid w:val="00CE624B"/>
    <w:rsid w:val="00CE6292"/>
    <w:rsid w:val="00CE796B"/>
    <w:rsid w:val="00CF0B88"/>
    <w:rsid w:val="00CF33E8"/>
    <w:rsid w:val="00CF4E86"/>
    <w:rsid w:val="00CF5D7F"/>
    <w:rsid w:val="00CF6312"/>
    <w:rsid w:val="00CF7F43"/>
    <w:rsid w:val="00D002D0"/>
    <w:rsid w:val="00D00A7D"/>
    <w:rsid w:val="00D0235A"/>
    <w:rsid w:val="00D031E0"/>
    <w:rsid w:val="00D064CF"/>
    <w:rsid w:val="00D0707E"/>
    <w:rsid w:val="00D074CA"/>
    <w:rsid w:val="00D1137C"/>
    <w:rsid w:val="00D1252F"/>
    <w:rsid w:val="00D12C89"/>
    <w:rsid w:val="00D12ECE"/>
    <w:rsid w:val="00D13119"/>
    <w:rsid w:val="00D13861"/>
    <w:rsid w:val="00D13DC1"/>
    <w:rsid w:val="00D148B6"/>
    <w:rsid w:val="00D14A12"/>
    <w:rsid w:val="00D14FE5"/>
    <w:rsid w:val="00D15080"/>
    <w:rsid w:val="00D16232"/>
    <w:rsid w:val="00D16907"/>
    <w:rsid w:val="00D20B00"/>
    <w:rsid w:val="00D20B4D"/>
    <w:rsid w:val="00D20E70"/>
    <w:rsid w:val="00D22050"/>
    <w:rsid w:val="00D22D20"/>
    <w:rsid w:val="00D22D75"/>
    <w:rsid w:val="00D23339"/>
    <w:rsid w:val="00D23818"/>
    <w:rsid w:val="00D23BCB"/>
    <w:rsid w:val="00D250EA"/>
    <w:rsid w:val="00D265FE"/>
    <w:rsid w:val="00D272DC"/>
    <w:rsid w:val="00D274DD"/>
    <w:rsid w:val="00D308DE"/>
    <w:rsid w:val="00D3168B"/>
    <w:rsid w:val="00D32347"/>
    <w:rsid w:val="00D331F7"/>
    <w:rsid w:val="00D34313"/>
    <w:rsid w:val="00D348C5"/>
    <w:rsid w:val="00D34B2D"/>
    <w:rsid w:val="00D360AA"/>
    <w:rsid w:val="00D3689D"/>
    <w:rsid w:val="00D42044"/>
    <w:rsid w:val="00D42EC3"/>
    <w:rsid w:val="00D439F6"/>
    <w:rsid w:val="00D445B7"/>
    <w:rsid w:val="00D45441"/>
    <w:rsid w:val="00D45CFD"/>
    <w:rsid w:val="00D50471"/>
    <w:rsid w:val="00D5063D"/>
    <w:rsid w:val="00D52934"/>
    <w:rsid w:val="00D52AC8"/>
    <w:rsid w:val="00D52EB2"/>
    <w:rsid w:val="00D52EE4"/>
    <w:rsid w:val="00D53CAE"/>
    <w:rsid w:val="00D541B9"/>
    <w:rsid w:val="00D546A8"/>
    <w:rsid w:val="00D55353"/>
    <w:rsid w:val="00D556BA"/>
    <w:rsid w:val="00D55F80"/>
    <w:rsid w:val="00D5688F"/>
    <w:rsid w:val="00D60C62"/>
    <w:rsid w:val="00D60DD2"/>
    <w:rsid w:val="00D612B1"/>
    <w:rsid w:val="00D6391A"/>
    <w:rsid w:val="00D63E31"/>
    <w:rsid w:val="00D640C2"/>
    <w:rsid w:val="00D6433F"/>
    <w:rsid w:val="00D6637C"/>
    <w:rsid w:val="00D66672"/>
    <w:rsid w:val="00D6678B"/>
    <w:rsid w:val="00D67210"/>
    <w:rsid w:val="00D6777F"/>
    <w:rsid w:val="00D67B76"/>
    <w:rsid w:val="00D67FCE"/>
    <w:rsid w:val="00D712C3"/>
    <w:rsid w:val="00D72564"/>
    <w:rsid w:val="00D743B5"/>
    <w:rsid w:val="00D7477E"/>
    <w:rsid w:val="00D765C3"/>
    <w:rsid w:val="00D76B94"/>
    <w:rsid w:val="00D76C33"/>
    <w:rsid w:val="00D82CD0"/>
    <w:rsid w:val="00D83D3A"/>
    <w:rsid w:val="00D84ECE"/>
    <w:rsid w:val="00D84F38"/>
    <w:rsid w:val="00D86201"/>
    <w:rsid w:val="00D869FC"/>
    <w:rsid w:val="00D9047B"/>
    <w:rsid w:val="00D90956"/>
    <w:rsid w:val="00D931F9"/>
    <w:rsid w:val="00D938C4"/>
    <w:rsid w:val="00D93E20"/>
    <w:rsid w:val="00D9633E"/>
    <w:rsid w:val="00D96A99"/>
    <w:rsid w:val="00DA1BE9"/>
    <w:rsid w:val="00DA1D65"/>
    <w:rsid w:val="00DA3258"/>
    <w:rsid w:val="00DA39CC"/>
    <w:rsid w:val="00DA591C"/>
    <w:rsid w:val="00DA62D2"/>
    <w:rsid w:val="00DA63C2"/>
    <w:rsid w:val="00DB1A7F"/>
    <w:rsid w:val="00DB1B3D"/>
    <w:rsid w:val="00DB1E78"/>
    <w:rsid w:val="00DB3112"/>
    <w:rsid w:val="00DB4CB2"/>
    <w:rsid w:val="00DB4CF8"/>
    <w:rsid w:val="00DB5DB9"/>
    <w:rsid w:val="00DB6089"/>
    <w:rsid w:val="00DB697B"/>
    <w:rsid w:val="00DB797D"/>
    <w:rsid w:val="00DB7B3A"/>
    <w:rsid w:val="00DC04CC"/>
    <w:rsid w:val="00DC1306"/>
    <w:rsid w:val="00DC31DD"/>
    <w:rsid w:val="00DC4F67"/>
    <w:rsid w:val="00DC5497"/>
    <w:rsid w:val="00DC63BF"/>
    <w:rsid w:val="00DC654E"/>
    <w:rsid w:val="00DC770C"/>
    <w:rsid w:val="00DD05A0"/>
    <w:rsid w:val="00DD0716"/>
    <w:rsid w:val="00DD1998"/>
    <w:rsid w:val="00DD2254"/>
    <w:rsid w:val="00DD2A11"/>
    <w:rsid w:val="00DD3E3A"/>
    <w:rsid w:val="00DD43BB"/>
    <w:rsid w:val="00DD493C"/>
    <w:rsid w:val="00DD4ACE"/>
    <w:rsid w:val="00DD5B01"/>
    <w:rsid w:val="00DD68E6"/>
    <w:rsid w:val="00DD72AC"/>
    <w:rsid w:val="00DD78BF"/>
    <w:rsid w:val="00DE0484"/>
    <w:rsid w:val="00DE0ECD"/>
    <w:rsid w:val="00DE1658"/>
    <w:rsid w:val="00DE1BE7"/>
    <w:rsid w:val="00DE1DD4"/>
    <w:rsid w:val="00DE3995"/>
    <w:rsid w:val="00DE40A4"/>
    <w:rsid w:val="00DE5743"/>
    <w:rsid w:val="00DE5EC6"/>
    <w:rsid w:val="00DE6634"/>
    <w:rsid w:val="00DE6A53"/>
    <w:rsid w:val="00DE6FA3"/>
    <w:rsid w:val="00DE799A"/>
    <w:rsid w:val="00DE7FD4"/>
    <w:rsid w:val="00DF033B"/>
    <w:rsid w:val="00DF04F8"/>
    <w:rsid w:val="00DF2084"/>
    <w:rsid w:val="00DF22FC"/>
    <w:rsid w:val="00DF33EB"/>
    <w:rsid w:val="00DF4719"/>
    <w:rsid w:val="00DF5107"/>
    <w:rsid w:val="00DF63EE"/>
    <w:rsid w:val="00DF7373"/>
    <w:rsid w:val="00E0177C"/>
    <w:rsid w:val="00E01F5D"/>
    <w:rsid w:val="00E02593"/>
    <w:rsid w:val="00E04E2F"/>
    <w:rsid w:val="00E074CD"/>
    <w:rsid w:val="00E10D2B"/>
    <w:rsid w:val="00E10EBB"/>
    <w:rsid w:val="00E111BE"/>
    <w:rsid w:val="00E11C7F"/>
    <w:rsid w:val="00E11EEA"/>
    <w:rsid w:val="00E123C4"/>
    <w:rsid w:val="00E13ABC"/>
    <w:rsid w:val="00E147F5"/>
    <w:rsid w:val="00E149FD"/>
    <w:rsid w:val="00E155C5"/>
    <w:rsid w:val="00E16966"/>
    <w:rsid w:val="00E1745E"/>
    <w:rsid w:val="00E20CFF"/>
    <w:rsid w:val="00E21C76"/>
    <w:rsid w:val="00E24A89"/>
    <w:rsid w:val="00E25EB8"/>
    <w:rsid w:val="00E26C87"/>
    <w:rsid w:val="00E30FAC"/>
    <w:rsid w:val="00E314E5"/>
    <w:rsid w:val="00E3178B"/>
    <w:rsid w:val="00E32068"/>
    <w:rsid w:val="00E3211E"/>
    <w:rsid w:val="00E34D16"/>
    <w:rsid w:val="00E357F5"/>
    <w:rsid w:val="00E35E0D"/>
    <w:rsid w:val="00E363E3"/>
    <w:rsid w:val="00E368D1"/>
    <w:rsid w:val="00E37FED"/>
    <w:rsid w:val="00E41D59"/>
    <w:rsid w:val="00E422CF"/>
    <w:rsid w:val="00E4266E"/>
    <w:rsid w:val="00E4539A"/>
    <w:rsid w:val="00E45610"/>
    <w:rsid w:val="00E46493"/>
    <w:rsid w:val="00E46AD2"/>
    <w:rsid w:val="00E476AF"/>
    <w:rsid w:val="00E51AC8"/>
    <w:rsid w:val="00E52DD6"/>
    <w:rsid w:val="00E536E6"/>
    <w:rsid w:val="00E53C94"/>
    <w:rsid w:val="00E54ACA"/>
    <w:rsid w:val="00E57C12"/>
    <w:rsid w:val="00E61447"/>
    <w:rsid w:val="00E62011"/>
    <w:rsid w:val="00E6231F"/>
    <w:rsid w:val="00E6272D"/>
    <w:rsid w:val="00E63573"/>
    <w:rsid w:val="00E6405E"/>
    <w:rsid w:val="00E67BD2"/>
    <w:rsid w:val="00E67FEC"/>
    <w:rsid w:val="00E7002B"/>
    <w:rsid w:val="00E70C3F"/>
    <w:rsid w:val="00E7125B"/>
    <w:rsid w:val="00E7559C"/>
    <w:rsid w:val="00E7568F"/>
    <w:rsid w:val="00E762DA"/>
    <w:rsid w:val="00E767F1"/>
    <w:rsid w:val="00E771F7"/>
    <w:rsid w:val="00E815A2"/>
    <w:rsid w:val="00E81E48"/>
    <w:rsid w:val="00E81FCA"/>
    <w:rsid w:val="00E824D9"/>
    <w:rsid w:val="00E830AB"/>
    <w:rsid w:val="00E8489C"/>
    <w:rsid w:val="00E84ADD"/>
    <w:rsid w:val="00E85A83"/>
    <w:rsid w:val="00E8630A"/>
    <w:rsid w:val="00E869DA"/>
    <w:rsid w:val="00E86E09"/>
    <w:rsid w:val="00E870A0"/>
    <w:rsid w:val="00E872A4"/>
    <w:rsid w:val="00E90267"/>
    <w:rsid w:val="00E90672"/>
    <w:rsid w:val="00E906C0"/>
    <w:rsid w:val="00E90C15"/>
    <w:rsid w:val="00E9154D"/>
    <w:rsid w:val="00E91E3B"/>
    <w:rsid w:val="00E926DD"/>
    <w:rsid w:val="00E92AD5"/>
    <w:rsid w:val="00E92C04"/>
    <w:rsid w:val="00E93EB3"/>
    <w:rsid w:val="00E941F7"/>
    <w:rsid w:val="00E95CB0"/>
    <w:rsid w:val="00E9614D"/>
    <w:rsid w:val="00E963C8"/>
    <w:rsid w:val="00E974A5"/>
    <w:rsid w:val="00EA0A79"/>
    <w:rsid w:val="00EA0CD0"/>
    <w:rsid w:val="00EA183B"/>
    <w:rsid w:val="00EA1989"/>
    <w:rsid w:val="00EA233A"/>
    <w:rsid w:val="00EA2646"/>
    <w:rsid w:val="00EA29BF"/>
    <w:rsid w:val="00EA40E8"/>
    <w:rsid w:val="00EA4A2C"/>
    <w:rsid w:val="00EA52D5"/>
    <w:rsid w:val="00EA7237"/>
    <w:rsid w:val="00EB0667"/>
    <w:rsid w:val="00EB08B7"/>
    <w:rsid w:val="00EB1523"/>
    <w:rsid w:val="00EB1C0E"/>
    <w:rsid w:val="00EB22A5"/>
    <w:rsid w:val="00EB2638"/>
    <w:rsid w:val="00EB32EF"/>
    <w:rsid w:val="00EB3C50"/>
    <w:rsid w:val="00EB6866"/>
    <w:rsid w:val="00EB68CE"/>
    <w:rsid w:val="00EC1D4D"/>
    <w:rsid w:val="00EC3646"/>
    <w:rsid w:val="00EC454C"/>
    <w:rsid w:val="00EC4BC2"/>
    <w:rsid w:val="00EC5E20"/>
    <w:rsid w:val="00EC5F70"/>
    <w:rsid w:val="00EC7485"/>
    <w:rsid w:val="00ED0A43"/>
    <w:rsid w:val="00ED1AA1"/>
    <w:rsid w:val="00ED2E8B"/>
    <w:rsid w:val="00ED3401"/>
    <w:rsid w:val="00ED3A8C"/>
    <w:rsid w:val="00ED3BD8"/>
    <w:rsid w:val="00ED48C8"/>
    <w:rsid w:val="00ED5986"/>
    <w:rsid w:val="00ED601C"/>
    <w:rsid w:val="00ED7023"/>
    <w:rsid w:val="00ED76A9"/>
    <w:rsid w:val="00ED7BD4"/>
    <w:rsid w:val="00EE003C"/>
    <w:rsid w:val="00EE0728"/>
    <w:rsid w:val="00EE2206"/>
    <w:rsid w:val="00EE5097"/>
    <w:rsid w:val="00EE572D"/>
    <w:rsid w:val="00EE72E0"/>
    <w:rsid w:val="00EE73FE"/>
    <w:rsid w:val="00EF0EBE"/>
    <w:rsid w:val="00EF1C9C"/>
    <w:rsid w:val="00EF4471"/>
    <w:rsid w:val="00EF5701"/>
    <w:rsid w:val="00EF5A11"/>
    <w:rsid w:val="00EF5BA2"/>
    <w:rsid w:val="00EF5C6F"/>
    <w:rsid w:val="00EF609C"/>
    <w:rsid w:val="00EF7CA2"/>
    <w:rsid w:val="00EF7F3B"/>
    <w:rsid w:val="00F00940"/>
    <w:rsid w:val="00F00971"/>
    <w:rsid w:val="00F0163D"/>
    <w:rsid w:val="00F01EAD"/>
    <w:rsid w:val="00F02A5F"/>
    <w:rsid w:val="00F02BED"/>
    <w:rsid w:val="00F03706"/>
    <w:rsid w:val="00F05011"/>
    <w:rsid w:val="00F05477"/>
    <w:rsid w:val="00F06585"/>
    <w:rsid w:val="00F06FE5"/>
    <w:rsid w:val="00F11766"/>
    <w:rsid w:val="00F11BE0"/>
    <w:rsid w:val="00F12C90"/>
    <w:rsid w:val="00F1376D"/>
    <w:rsid w:val="00F15E53"/>
    <w:rsid w:val="00F1740C"/>
    <w:rsid w:val="00F178D9"/>
    <w:rsid w:val="00F20E25"/>
    <w:rsid w:val="00F23205"/>
    <w:rsid w:val="00F236D1"/>
    <w:rsid w:val="00F23C20"/>
    <w:rsid w:val="00F246E8"/>
    <w:rsid w:val="00F24E0A"/>
    <w:rsid w:val="00F26DE3"/>
    <w:rsid w:val="00F27122"/>
    <w:rsid w:val="00F30644"/>
    <w:rsid w:val="00F30F4D"/>
    <w:rsid w:val="00F31774"/>
    <w:rsid w:val="00F31A30"/>
    <w:rsid w:val="00F33080"/>
    <w:rsid w:val="00F3359D"/>
    <w:rsid w:val="00F34962"/>
    <w:rsid w:val="00F3570A"/>
    <w:rsid w:val="00F36281"/>
    <w:rsid w:val="00F4119B"/>
    <w:rsid w:val="00F42EBA"/>
    <w:rsid w:val="00F42FB1"/>
    <w:rsid w:val="00F43339"/>
    <w:rsid w:val="00F43C55"/>
    <w:rsid w:val="00F44F67"/>
    <w:rsid w:val="00F451FD"/>
    <w:rsid w:val="00F46D15"/>
    <w:rsid w:val="00F47AC9"/>
    <w:rsid w:val="00F47D63"/>
    <w:rsid w:val="00F5047B"/>
    <w:rsid w:val="00F51F0C"/>
    <w:rsid w:val="00F52EF5"/>
    <w:rsid w:val="00F535AC"/>
    <w:rsid w:val="00F53BEF"/>
    <w:rsid w:val="00F53EC0"/>
    <w:rsid w:val="00F53F01"/>
    <w:rsid w:val="00F545BD"/>
    <w:rsid w:val="00F54718"/>
    <w:rsid w:val="00F54E85"/>
    <w:rsid w:val="00F54FA2"/>
    <w:rsid w:val="00F55FB8"/>
    <w:rsid w:val="00F6251E"/>
    <w:rsid w:val="00F6252A"/>
    <w:rsid w:val="00F628B3"/>
    <w:rsid w:val="00F63127"/>
    <w:rsid w:val="00F63495"/>
    <w:rsid w:val="00F63C78"/>
    <w:rsid w:val="00F6428D"/>
    <w:rsid w:val="00F64C2A"/>
    <w:rsid w:val="00F656D8"/>
    <w:rsid w:val="00F670B9"/>
    <w:rsid w:val="00F679BE"/>
    <w:rsid w:val="00F7030D"/>
    <w:rsid w:val="00F71001"/>
    <w:rsid w:val="00F711F4"/>
    <w:rsid w:val="00F72979"/>
    <w:rsid w:val="00F72E93"/>
    <w:rsid w:val="00F746AA"/>
    <w:rsid w:val="00F757B1"/>
    <w:rsid w:val="00F77780"/>
    <w:rsid w:val="00F77B8D"/>
    <w:rsid w:val="00F81258"/>
    <w:rsid w:val="00F8292B"/>
    <w:rsid w:val="00F832E2"/>
    <w:rsid w:val="00F86773"/>
    <w:rsid w:val="00F8690F"/>
    <w:rsid w:val="00F86C04"/>
    <w:rsid w:val="00F8756B"/>
    <w:rsid w:val="00F875FC"/>
    <w:rsid w:val="00F902CE"/>
    <w:rsid w:val="00F90579"/>
    <w:rsid w:val="00F90DD3"/>
    <w:rsid w:val="00F91F51"/>
    <w:rsid w:val="00F9257D"/>
    <w:rsid w:val="00F93336"/>
    <w:rsid w:val="00F933DF"/>
    <w:rsid w:val="00F9432B"/>
    <w:rsid w:val="00F95E75"/>
    <w:rsid w:val="00F96339"/>
    <w:rsid w:val="00F97054"/>
    <w:rsid w:val="00FA0448"/>
    <w:rsid w:val="00FA0C37"/>
    <w:rsid w:val="00FA243D"/>
    <w:rsid w:val="00FA3003"/>
    <w:rsid w:val="00FA3341"/>
    <w:rsid w:val="00FA443E"/>
    <w:rsid w:val="00FA45BD"/>
    <w:rsid w:val="00FA4DCC"/>
    <w:rsid w:val="00FA57BD"/>
    <w:rsid w:val="00FA5E61"/>
    <w:rsid w:val="00FA6297"/>
    <w:rsid w:val="00FA6B77"/>
    <w:rsid w:val="00FB1E76"/>
    <w:rsid w:val="00FB3600"/>
    <w:rsid w:val="00FB76EA"/>
    <w:rsid w:val="00FB7B52"/>
    <w:rsid w:val="00FB7DB6"/>
    <w:rsid w:val="00FC0405"/>
    <w:rsid w:val="00FC0569"/>
    <w:rsid w:val="00FC096B"/>
    <w:rsid w:val="00FC0A14"/>
    <w:rsid w:val="00FC206D"/>
    <w:rsid w:val="00FC355A"/>
    <w:rsid w:val="00FC3BC1"/>
    <w:rsid w:val="00FC4197"/>
    <w:rsid w:val="00FC5F23"/>
    <w:rsid w:val="00FC68C9"/>
    <w:rsid w:val="00FD1F0B"/>
    <w:rsid w:val="00FD272E"/>
    <w:rsid w:val="00FD2A3A"/>
    <w:rsid w:val="00FD2B5C"/>
    <w:rsid w:val="00FD54BA"/>
    <w:rsid w:val="00FD580F"/>
    <w:rsid w:val="00FD6109"/>
    <w:rsid w:val="00FE09B6"/>
    <w:rsid w:val="00FE1942"/>
    <w:rsid w:val="00FE1D22"/>
    <w:rsid w:val="00FE3539"/>
    <w:rsid w:val="00FE4A63"/>
    <w:rsid w:val="00FE6618"/>
    <w:rsid w:val="00FE74E1"/>
    <w:rsid w:val="00FF1A3A"/>
    <w:rsid w:val="00FF242D"/>
    <w:rsid w:val="00FF3786"/>
    <w:rsid w:val="00FF3D56"/>
    <w:rsid w:val="00FF6054"/>
    <w:rsid w:val="00FF61F9"/>
    <w:rsid w:val="00FF6478"/>
    <w:rsid w:val="00FF76A0"/>
    <w:rsid w:val="00FF77F4"/>
    <w:rsid w:val="00FF786B"/>
    <w:rsid w:val="01017684"/>
    <w:rsid w:val="01032012"/>
    <w:rsid w:val="01042CD0"/>
    <w:rsid w:val="010860CF"/>
    <w:rsid w:val="010A06C2"/>
    <w:rsid w:val="010A6538"/>
    <w:rsid w:val="010B2AC3"/>
    <w:rsid w:val="010C299E"/>
    <w:rsid w:val="010E3F17"/>
    <w:rsid w:val="01115B19"/>
    <w:rsid w:val="01161381"/>
    <w:rsid w:val="01195121"/>
    <w:rsid w:val="011F09C3"/>
    <w:rsid w:val="01205D5C"/>
    <w:rsid w:val="01207B0A"/>
    <w:rsid w:val="01233A9E"/>
    <w:rsid w:val="012375FA"/>
    <w:rsid w:val="01243C35"/>
    <w:rsid w:val="01253372"/>
    <w:rsid w:val="0127533C"/>
    <w:rsid w:val="012A2737"/>
    <w:rsid w:val="012D66CB"/>
    <w:rsid w:val="012E1A1B"/>
    <w:rsid w:val="012F2443"/>
    <w:rsid w:val="012F41F1"/>
    <w:rsid w:val="01303614"/>
    <w:rsid w:val="01341807"/>
    <w:rsid w:val="013435B5"/>
    <w:rsid w:val="013712F7"/>
    <w:rsid w:val="01390BCC"/>
    <w:rsid w:val="01392AFC"/>
    <w:rsid w:val="013A4168"/>
    <w:rsid w:val="013C06BC"/>
    <w:rsid w:val="013D4B60"/>
    <w:rsid w:val="01423F24"/>
    <w:rsid w:val="01431A4A"/>
    <w:rsid w:val="014337F8"/>
    <w:rsid w:val="01444A6E"/>
    <w:rsid w:val="01481161"/>
    <w:rsid w:val="01483505"/>
    <w:rsid w:val="014B08FF"/>
    <w:rsid w:val="014D28C9"/>
    <w:rsid w:val="014D325C"/>
    <w:rsid w:val="014F219D"/>
    <w:rsid w:val="014F6641"/>
    <w:rsid w:val="01526ABB"/>
    <w:rsid w:val="01536D2A"/>
    <w:rsid w:val="01543C57"/>
    <w:rsid w:val="015445C8"/>
    <w:rsid w:val="01557885"/>
    <w:rsid w:val="0159126E"/>
    <w:rsid w:val="015974C0"/>
    <w:rsid w:val="015E0632"/>
    <w:rsid w:val="015E4AD6"/>
    <w:rsid w:val="01610122"/>
    <w:rsid w:val="01626374"/>
    <w:rsid w:val="01633E9B"/>
    <w:rsid w:val="01635C49"/>
    <w:rsid w:val="0168325F"/>
    <w:rsid w:val="01687703"/>
    <w:rsid w:val="016B44FB"/>
    <w:rsid w:val="016C0FA1"/>
    <w:rsid w:val="016C71F3"/>
    <w:rsid w:val="016D4D19"/>
    <w:rsid w:val="016F0A91"/>
    <w:rsid w:val="016F283F"/>
    <w:rsid w:val="01710365"/>
    <w:rsid w:val="017117FD"/>
    <w:rsid w:val="01785B98"/>
    <w:rsid w:val="017916D0"/>
    <w:rsid w:val="0179331D"/>
    <w:rsid w:val="017B11E4"/>
    <w:rsid w:val="017D666E"/>
    <w:rsid w:val="017E0CD4"/>
    <w:rsid w:val="017E1630"/>
    <w:rsid w:val="01804A4C"/>
    <w:rsid w:val="01822782"/>
    <w:rsid w:val="0186750A"/>
    <w:rsid w:val="0187402D"/>
    <w:rsid w:val="01877B89"/>
    <w:rsid w:val="018856AF"/>
    <w:rsid w:val="018C1643"/>
    <w:rsid w:val="018C519F"/>
    <w:rsid w:val="018D0F17"/>
    <w:rsid w:val="018F2EE2"/>
    <w:rsid w:val="018F6A3E"/>
    <w:rsid w:val="01904D86"/>
    <w:rsid w:val="01910A08"/>
    <w:rsid w:val="019127B6"/>
    <w:rsid w:val="01934780"/>
    <w:rsid w:val="01967DCC"/>
    <w:rsid w:val="019B3634"/>
    <w:rsid w:val="019B53E2"/>
    <w:rsid w:val="019F4625"/>
    <w:rsid w:val="01A3073B"/>
    <w:rsid w:val="01A324E9"/>
    <w:rsid w:val="01A7022B"/>
    <w:rsid w:val="01AC3A93"/>
    <w:rsid w:val="01B464A4"/>
    <w:rsid w:val="01B666C0"/>
    <w:rsid w:val="01B96C47"/>
    <w:rsid w:val="01BB7833"/>
    <w:rsid w:val="01C25065"/>
    <w:rsid w:val="01C42B8B"/>
    <w:rsid w:val="01C7267B"/>
    <w:rsid w:val="01C761D7"/>
    <w:rsid w:val="01C869B3"/>
    <w:rsid w:val="01CA5CC8"/>
    <w:rsid w:val="01CC7CF9"/>
    <w:rsid w:val="01CE57B8"/>
    <w:rsid w:val="01D152A8"/>
    <w:rsid w:val="01D17056"/>
    <w:rsid w:val="01D26BCC"/>
    <w:rsid w:val="01D32DCE"/>
    <w:rsid w:val="01D37272"/>
    <w:rsid w:val="01D45911"/>
    <w:rsid w:val="01D547F9"/>
    <w:rsid w:val="01D60B10"/>
    <w:rsid w:val="01D65AC4"/>
    <w:rsid w:val="01D803E5"/>
    <w:rsid w:val="01DA23AF"/>
    <w:rsid w:val="01DB7ED5"/>
    <w:rsid w:val="01E054EB"/>
    <w:rsid w:val="01E303F1"/>
    <w:rsid w:val="01E46594"/>
    <w:rsid w:val="01E66FA5"/>
    <w:rsid w:val="01E824FA"/>
    <w:rsid w:val="01EE19B6"/>
    <w:rsid w:val="01EF572E"/>
    <w:rsid w:val="01F03BBA"/>
    <w:rsid w:val="01F1594A"/>
    <w:rsid w:val="01F40F97"/>
    <w:rsid w:val="01F62F61"/>
    <w:rsid w:val="01F66ABD"/>
    <w:rsid w:val="01F8031B"/>
    <w:rsid w:val="01F9035B"/>
    <w:rsid w:val="01FA65AD"/>
    <w:rsid w:val="01FC12AC"/>
    <w:rsid w:val="01FD42EF"/>
    <w:rsid w:val="01FD7E4B"/>
    <w:rsid w:val="01FE3B56"/>
    <w:rsid w:val="01FE504C"/>
    <w:rsid w:val="02003588"/>
    <w:rsid w:val="020142D5"/>
    <w:rsid w:val="02072A78"/>
    <w:rsid w:val="02084250"/>
    <w:rsid w:val="020967F0"/>
    <w:rsid w:val="020C62E0"/>
    <w:rsid w:val="020E02AA"/>
    <w:rsid w:val="020F6402"/>
    <w:rsid w:val="021030B2"/>
    <w:rsid w:val="02145195"/>
    <w:rsid w:val="0216715F"/>
    <w:rsid w:val="02186A33"/>
    <w:rsid w:val="021872CE"/>
    <w:rsid w:val="021A27AB"/>
    <w:rsid w:val="021C29C7"/>
    <w:rsid w:val="021D04ED"/>
    <w:rsid w:val="02217FDE"/>
    <w:rsid w:val="0224187C"/>
    <w:rsid w:val="02243890"/>
    <w:rsid w:val="022573A2"/>
    <w:rsid w:val="022C6982"/>
    <w:rsid w:val="022E26FA"/>
    <w:rsid w:val="02322A46"/>
    <w:rsid w:val="02337D11"/>
    <w:rsid w:val="02355837"/>
    <w:rsid w:val="02367A76"/>
    <w:rsid w:val="0237612B"/>
    <w:rsid w:val="02377801"/>
    <w:rsid w:val="02383131"/>
    <w:rsid w:val="023A2E4D"/>
    <w:rsid w:val="023C235A"/>
    <w:rsid w:val="023D0B8F"/>
    <w:rsid w:val="0240685E"/>
    <w:rsid w:val="02427F54"/>
    <w:rsid w:val="02443CCC"/>
    <w:rsid w:val="02454DC9"/>
    <w:rsid w:val="0247556A"/>
    <w:rsid w:val="024B6E08"/>
    <w:rsid w:val="024C492F"/>
    <w:rsid w:val="024E43D4"/>
    <w:rsid w:val="024E4B4B"/>
    <w:rsid w:val="024E68F9"/>
    <w:rsid w:val="02502671"/>
    <w:rsid w:val="02504B3F"/>
    <w:rsid w:val="02532161"/>
    <w:rsid w:val="02533F0F"/>
    <w:rsid w:val="02566477"/>
    <w:rsid w:val="0256755B"/>
    <w:rsid w:val="02571C51"/>
    <w:rsid w:val="02571F5C"/>
    <w:rsid w:val="025739FF"/>
    <w:rsid w:val="025A07C2"/>
    <w:rsid w:val="025A34EF"/>
    <w:rsid w:val="025B2DC4"/>
    <w:rsid w:val="025C7268"/>
    <w:rsid w:val="025D63D3"/>
    <w:rsid w:val="025D690F"/>
    <w:rsid w:val="025E05D3"/>
    <w:rsid w:val="025F0B06"/>
    <w:rsid w:val="025F4662"/>
    <w:rsid w:val="026223A4"/>
    <w:rsid w:val="02671768"/>
    <w:rsid w:val="026B0005"/>
    <w:rsid w:val="026B1259"/>
    <w:rsid w:val="026C35B6"/>
    <w:rsid w:val="026E00C7"/>
    <w:rsid w:val="026E54F6"/>
    <w:rsid w:val="026E67DA"/>
    <w:rsid w:val="026F5F9E"/>
    <w:rsid w:val="027427F8"/>
    <w:rsid w:val="02750329"/>
    <w:rsid w:val="027520D7"/>
    <w:rsid w:val="02781179"/>
    <w:rsid w:val="027A5940"/>
    <w:rsid w:val="027A76EE"/>
    <w:rsid w:val="027D0F8C"/>
    <w:rsid w:val="027D71DE"/>
    <w:rsid w:val="0281282A"/>
    <w:rsid w:val="02836F78"/>
    <w:rsid w:val="028642E4"/>
    <w:rsid w:val="0288005D"/>
    <w:rsid w:val="028916DF"/>
    <w:rsid w:val="028E3199"/>
    <w:rsid w:val="02906F11"/>
    <w:rsid w:val="0293255D"/>
    <w:rsid w:val="02985DC6"/>
    <w:rsid w:val="029C3B08"/>
    <w:rsid w:val="029D518A"/>
    <w:rsid w:val="029D5455"/>
    <w:rsid w:val="02A01AC6"/>
    <w:rsid w:val="02A14D09"/>
    <w:rsid w:val="02A227A1"/>
    <w:rsid w:val="02A22CA5"/>
    <w:rsid w:val="02A235F8"/>
    <w:rsid w:val="02A23BF1"/>
    <w:rsid w:val="02A36C44"/>
    <w:rsid w:val="02A429BD"/>
    <w:rsid w:val="02A46D06"/>
    <w:rsid w:val="02A93B2F"/>
    <w:rsid w:val="02A97FD3"/>
    <w:rsid w:val="02AB3D4B"/>
    <w:rsid w:val="02AB5AF9"/>
    <w:rsid w:val="02AE1145"/>
    <w:rsid w:val="02AE55E9"/>
    <w:rsid w:val="02AE78CA"/>
    <w:rsid w:val="02B052A9"/>
    <w:rsid w:val="02B20C36"/>
    <w:rsid w:val="02B2279A"/>
    <w:rsid w:val="02B349AE"/>
    <w:rsid w:val="02B40E52"/>
    <w:rsid w:val="02B56978"/>
    <w:rsid w:val="02B710F1"/>
    <w:rsid w:val="02BA21E0"/>
    <w:rsid w:val="02BA6BA7"/>
    <w:rsid w:val="02BC7D06"/>
    <w:rsid w:val="02BD3C23"/>
    <w:rsid w:val="02BF3353"/>
    <w:rsid w:val="02C170CB"/>
    <w:rsid w:val="02C24E60"/>
    <w:rsid w:val="02C32E43"/>
    <w:rsid w:val="02C40969"/>
    <w:rsid w:val="02C50B9B"/>
    <w:rsid w:val="02C50C10"/>
    <w:rsid w:val="02C646E1"/>
    <w:rsid w:val="02C82935"/>
    <w:rsid w:val="02C92423"/>
    <w:rsid w:val="02C95F7F"/>
    <w:rsid w:val="02CA0A21"/>
    <w:rsid w:val="02CB1CF7"/>
    <w:rsid w:val="02CC4B37"/>
    <w:rsid w:val="02CD3CC1"/>
    <w:rsid w:val="02CE3596"/>
    <w:rsid w:val="02CF141E"/>
    <w:rsid w:val="02CF7A3A"/>
    <w:rsid w:val="02D01661"/>
    <w:rsid w:val="02D06700"/>
    <w:rsid w:val="02D3157B"/>
    <w:rsid w:val="02D36DFE"/>
    <w:rsid w:val="02D45050"/>
    <w:rsid w:val="02D52B76"/>
    <w:rsid w:val="02D54924"/>
    <w:rsid w:val="02D71C81"/>
    <w:rsid w:val="02D768EE"/>
    <w:rsid w:val="02D908B8"/>
    <w:rsid w:val="02D90FB5"/>
    <w:rsid w:val="02DA018C"/>
    <w:rsid w:val="02DC0246"/>
    <w:rsid w:val="02DE7C7D"/>
    <w:rsid w:val="02DF39F5"/>
    <w:rsid w:val="02E42DB9"/>
    <w:rsid w:val="02E44900"/>
    <w:rsid w:val="02E51F3D"/>
    <w:rsid w:val="02E5725D"/>
    <w:rsid w:val="02E62FD5"/>
    <w:rsid w:val="02E66B31"/>
    <w:rsid w:val="02E81C3B"/>
    <w:rsid w:val="02E903CF"/>
    <w:rsid w:val="02EB05EB"/>
    <w:rsid w:val="02EB406C"/>
    <w:rsid w:val="02EC685C"/>
    <w:rsid w:val="02ED1C6E"/>
    <w:rsid w:val="02EF1E8A"/>
    <w:rsid w:val="02F05C02"/>
    <w:rsid w:val="02F403E5"/>
    <w:rsid w:val="02F4124E"/>
    <w:rsid w:val="02F53218"/>
    <w:rsid w:val="02F56D74"/>
    <w:rsid w:val="02F70D3E"/>
    <w:rsid w:val="02FA082F"/>
    <w:rsid w:val="02FC45A7"/>
    <w:rsid w:val="03031491"/>
    <w:rsid w:val="030376E3"/>
    <w:rsid w:val="03060F81"/>
    <w:rsid w:val="03086AA8"/>
    <w:rsid w:val="03092820"/>
    <w:rsid w:val="03093C85"/>
    <w:rsid w:val="030B2A3C"/>
    <w:rsid w:val="030B6598"/>
    <w:rsid w:val="030D0562"/>
    <w:rsid w:val="030D40BE"/>
    <w:rsid w:val="030E7406"/>
    <w:rsid w:val="030E7E36"/>
    <w:rsid w:val="03103BAE"/>
    <w:rsid w:val="03113F5C"/>
    <w:rsid w:val="03123DCA"/>
    <w:rsid w:val="031406D1"/>
    <w:rsid w:val="03166B78"/>
    <w:rsid w:val="031713E0"/>
    <w:rsid w:val="0317318F"/>
    <w:rsid w:val="03174F3D"/>
    <w:rsid w:val="031C051E"/>
    <w:rsid w:val="031C2553"/>
    <w:rsid w:val="031D402A"/>
    <w:rsid w:val="031E451D"/>
    <w:rsid w:val="03200295"/>
    <w:rsid w:val="032064E7"/>
    <w:rsid w:val="03215DBB"/>
    <w:rsid w:val="03217B69"/>
    <w:rsid w:val="03237D85"/>
    <w:rsid w:val="032558AB"/>
    <w:rsid w:val="03265180"/>
    <w:rsid w:val="032A1114"/>
    <w:rsid w:val="032A3D5D"/>
    <w:rsid w:val="032C298F"/>
    <w:rsid w:val="032D4760"/>
    <w:rsid w:val="032E3CD9"/>
    <w:rsid w:val="032F672A"/>
    <w:rsid w:val="03304250"/>
    <w:rsid w:val="03321D76"/>
    <w:rsid w:val="03323B24"/>
    <w:rsid w:val="03353615"/>
    <w:rsid w:val="033C49A3"/>
    <w:rsid w:val="033E071B"/>
    <w:rsid w:val="033E4BBF"/>
    <w:rsid w:val="033E696D"/>
    <w:rsid w:val="0341020B"/>
    <w:rsid w:val="03436045"/>
    <w:rsid w:val="034420A6"/>
    <w:rsid w:val="03483348"/>
    <w:rsid w:val="034B2E38"/>
    <w:rsid w:val="034C72DC"/>
    <w:rsid w:val="034D3112"/>
    <w:rsid w:val="034D32D6"/>
    <w:rsid w:val="034D4E02"/>
    <w:rsid w:val="03547F3F"/>
    <w:rsid w:val="03555A65"/>
    <w:rsid w:val="03561F09"/>
    <w:rsid w:val="03563B89"/>
    <w:rsid w:val="035724D2"/>
    <w:rsid w:val="03575C81"/>
    <w:rsid w:val="035A307B"/>
    <w:rsid w:val="035C5045"/>
    <w:rsid w:val="035E01C7"/>
    <w:rsid w:val="035E29B4"/>
    <w:rsid w:val="036068E4"/>
    <w:rsid w:val="03667C72"/>
    <w:rsid w:val="03692931"/>
    <w:rsid w:val="036D12B2"/>
    <w:rsid w:val="0371289F"/>
    <w:rsid w:val="03716D43"/>
    <w:rsid w:val="0374238F"/>
    <w:rsid w:val="0374413D"/>
    <w:rsid w:val="037759DB"/>
    <w:rsid w:val="037A0006"/>
    <w:rsid w:val="037B196F"/>
    <w:rsid w:val="037E320E"/>
    <w:rsid w:val="038002F5"/>
    <w:rsid w:val="0381685A"/>
    <w:rsid w:val="038460A9"/>
    <w:rsid w:val="0385459C"/>
    <w:rsid w:val="03883137"/>
    <w:rsid w:val="038861FA"/>
    <w:rsid w:val="038A7E04"/>
    <w:rsid w:val="038D51FF"/>
    <w:rsid w:val="038D715B"/>
    <w:rsid w:val="038F31BC"/>
    <w:rsid w:val="038F71C9"/>
    <w:rsid w:val="03921B3D"/>
    <w:rsid w:val="03936CB9"/>
    <w:rsid w:val="03942A31"/>
    <w:rsid w:val="03972DDE"/>
    <w:rsid w:val="039842CF"/>
    <w:rsid w:val="039C3694"/>
    <w:rsid w:val="03A26EFC"/>
    <w:rsid w:val="03A32346"/>
    <w:rsid w:val="03A32C74"/>
    <w:rsid w:val="03A34A22"/>
    <w:rsid w:val="03A367D0"/>
    <w:rsid w:val="03A52548"/>
    <w:rsid w:val="03A653A6"/>
    <w:rsid w:val="03A8554E"/>
    <w:rsid w:val="03A85C19"/>
    <w:rsid w:val="03A951F3"/>
    <w:rsid w:val="03AA1254"/>
    <w:rsid w:val="03AA4003"/>
    <w:rsid w:val="03AF1619"/>
    <w:rsid w:val="03B15391"/>
    <w:rsid w:val="03B24C65"/>
    <w:rsid w:val="03B46C2F"/>
    <w:rsid w:val="03B629A7"/>
    <w:rsid w:val="03B66504"/>
    <w:rsid w:val="03B7227C"/>
    <w:rsid w:val="03B91FD7"/>
    <w:rsid w:val="03B93000"/>
    <w:rsid w:val="03B95FF4"/>
    <w:rsid w:val="03BC7892"/>
    <w:rsid w:val="03BD5AE4"/>
    <w:rsid w:val="03C274DB"/>
    <w:rsid w:val="03C42CC6"/>
    <w:rsid w:val="03C50E3C"/>
    <w:rsid w:val="03C52BEB"/>
    <w:rsid w:val="03C74BB5"/>
    <w:rsid w:val="03C76963"/>
    <w:rsid w:val="03C84489"/>
    <w:rsid w:val="03CA1FAF"/>
    <w:rsid w:val="03CA6453"/>
    <w:rsid w:val="03CE5F43"/>
    <w:rsid w:val="03CF064F"/>
    <w:rsid w:val="03D1158F"/>
    <w:rsid w:val="03D1333D"/>
    <w:rsid w:val="03D25B79"/>
    <w:rsid w:val="03D270B5"/>
    <w:rsid w:val="03D42E2E"/>
    <w:rsid w:val="03D472D2"/>
    <w:rsid w:val="03D8291E"/>
    <w:rsid w:val="03D974F7"/>
    <w:rsid w:val="03DB240E"/>
    <w:rsid w:val="03DD6186"/>
    <w:rsid w:val="03E219EE"/>
    <w:rsid w:val="03E25383"/>
    <w:rsid w:val="03E2554B"/>
    <w:rsid w:val="03E47515"/>
    <w:rsid w:val="03E70DB3"/>
    <w:rsid w:val="03E72B61"/>
    <w:rsid w:val="03E80687"/>
    <w:rsid w:val="03E80F8F"/>
    <w:rsid w:val="03E94B2B"/>
    <w:rsid w:val="03EC0177"/>
    <w:rsid w:val="03EF7C67"/>
    <w:rsid w:val="03F1578E"/>
    <w:rsid w:val="03F4527E"/>
    <w:rsid w:val="03F4702C"/>
    <w:rsid w:val="03F52369"/>
    <w:rsid w:val="03F82FC0"/>
    <w:rsid w:val="03F84D6E"/>
    <w:rsid w:val="03FA6D38"/>
    <w:rsid w:val="03FB03BA"/>
    <w:rsid w:val="03FD2384"/>
    <w:rsid w:val="03FE7EAB"/>
    <w:rsid w:val="04003C23"/>
    <w:rsid w:val="040354C1"/>
    <w:rsid w:val="040E6340"/>
    <w:rsid w:val="0410030A"/>
    <w:rsid w:val="04117BDE"/>
    <w:rsid w:val="04131BA8"/>
    <w:rsid w:val="041871BE"/>
    <w:rsid w:val="041901C7"/>
    <w:rsid w:val="041A0288"/>
    <w:rsid w:val="041A2F36"/>
    <w:rsid w:val="041B1889"/>
    <w:rsid w:val="041F054D"/>
    <w:rsid w:val="04206073"/>
    <w:rsid w:val="042167B5"/>
    <w:rsid w:val="0422003D"/>
    <w:rsid w:val="04241430"/>
    <w:rsid w:val="04243DB5"/>
    <w:rsid w:val="04253689"/>
    <w:rsid w:val="04293179"/>
    <w:rsid w:val="04294F27"/>
    <w:rsid w:val="042B6695"/>
    <w:rsid w:val="042C3965"/>
    <w:rsid w:val="042E0790"/>
    <w:rsid w:val="042E253E"/>
    <w:rsid w:val="042F4508"/>
    <w:rsid w:val="0430275A"/>
    <w:rsid w:val="04310280"/>
    <w:rsid w:val="0431202E"/>
    <w:rsid w:val="043164D2"/>
    <w:rsid w:val="04333FF8"/>
    <w:rsid w:val="04363AE8"/>
    <w:rsid w:val="043833BC"/>
    <w:rsid w:val="043964FE"/>
    <w:rsid w:val="043A35D9"/>
    <w:rsid w:val="043A46E9"/>
    <w:rsid w:val="043D6C25"/>
    <w:rsid w:val="043F299D"/>
    <w:rsid w:val="044004C3"/>
    <w:rsid w:val="04402271"/>
    <w:rsid w:val="04413255"/>
    <w:rsid w:val="0442248D"/>
    <w:rsid w:val="04460E6B"/>
    <w:rsid w:val="04497378"/>
    <w:rsid w:val="044A30F0"/>
    <w:rsid w:val="044C330C"/>
    <w:rsid w:val="044C50BA"/>
    <w:rsid w:val="044C6E68"/>
    <w:rsid w:val="044F0706"/>
    <w:rsid w:val="04515343"/>
    <w:rsid w:val="04516D24"/>
    <w:rsid w:val="045301F6"/>
    <w:rsid w:val="04567CE7"/>
    <w:rsid w:val="04583A5F"/>
    <w:rsid w:val="045A3333"/>
    <w:rsid w:val="045D3E37"/>
    <w:rsid w:val="045D72C7"/>
    <w:rsid w:val="04610B65"/>
    <w:rsid w:val="046152AB"/>
    <w:rsid w:val="04616819"/>
    <w:rsid w:val="0462668B"/>
    <w:rsid w:val="0466662A"/>
    <w:rsid w:val="04671EF4"/>
    <w:rsid w:val="046B3792"/>
    <w:rsid w:val="046E3282"/>
    <w:rsid w:val="046E5030"/>
    <w:rsid w:val="04714B20"/>
    <w:rsid w:val="04724BCD"/>
    <w:rsid w:val="0472717F"/>
    <w:rsid w:val="04787C5D"/>
    <w:rsid w:val="047E69E4"/>
    <w:rsid w:val="04806B11"/>
    <w:rsid w:val="0482288A"/>
    <w:rsid w:val="04842AA6"/>
    <w:rsid w:val="04846602"/>
    <w:rsid w:val="0486237A"/>
    <w:rsid w:val="048644D3"/>
    <w:rsid w:val="04865C1B"/>
    <w:rsid w:val="04874344"/>
    <w:rsid w:val="04877EA0"/>
    <w:rsid w:val="04893C18"/>
    <w:rsid w:val="048C3708"/>
    <w:rsid w:val="048E7480"/>
    <w:rsid w:val="04903A62"/>
    <w:rsid w:val="04910807"/>
    <w:rsid w:val="04912B00"/>
    <w:rsid w:val="04926F71"/>
    <w:rsid w:val="0495080F"/>
    <w:rsid w:val="049525BD"/>
    <w:rsid w:val="04956A61"/>
    <w:rsid w:val="04974587"/>
    <w:rsid w:val="049928A9"/>
    <w:rsid w:val="049A551A"/>
    <w:rsid w:val="049A5E25"/>
    <w:rsid w:val="049A7BD3"/>
    <w:rsid w:val="049C1B9D"/>
    <w:rsid w:val="049D76C3"/>
    <w:rsid w:val="049F168E"/>
    <w:rsid w:val="049F343C"/>
    <w:rsid w:val="04A15406"/>
    <w:rsid w:val="04A22F2C"/>
    <w:rsid w:val="04A25D63"/>
    <w:rsid w:val="04A80FAE"/>
    <w:rsid w:val="04A930A7"/>
    <w:rsid w:val="04AA300D"/>
    <w:rsid w:val="04AB1DE0"/>
    <w:rsid w:val="04AD3DAA"/>
    <w:rsid w:val="04AD67C5"/>
    <w:rsid w:val="04AE18D1"/>
    <w:rsid w:val="04AE7B23"/>
    <w:rsid w:val="04B360C1"/>
    <w:rsid w:val="04B52C5F"/>
    <w:rsid w:val="04B5335C"/>
    <w:rsid w:val="04B74A42"/>
    <w:rsid w:val="04B8274F"/>
    <w:rsid w:val="04B83981"/>
    <w:rsid w:val="04B862AB"/>
    <w:rsid w:val="04BB4853"/>
    <w:rsid w:val="04BF763A"/>
    <w:rsid w:val="04C2712A"/>
    <w:rsid w:val="04C504D6"/>
    <w:rsid w:val="04C82992"/>
    <w:rsid w:val="04C85EC4"/>
    <w:rsid w:val="04C9670A"/>
    <w:rsid w:val="04CB4231"/>
    <w:rsid w:val="04CC1D57"/>
    <w:rsid w:val="04CD61FB"/>
    <w:rsid w:val="04CD6C68"/>
    <w:rsid w:val="04CE1F73"/>
    <w:rsid w:val="04CE5ACF"/>
    <w:rsid w:val="04D00CBB"/>
    <w:rsid w:val="04D035F5"/>
    <w:rsid w:val="04D07A99"/>
    <w:rsid w:val="04D46B3B"/>
    <w:rsid w:val="04D56E5D"/>
    <w:rsid w:val="04D70E27"/>
    <w:rsid w:val="04D74983"/>
    <w:rsid w:val="04DC3B8C"/>
    <w:rsid w:val="04DC4690"/>
    <w:rsid w:val="04DC643E"/>
    <w:rsid w:val="04DF5F2E"/>
    <w:rsid w:val="04E2157A"/>
    <w:rsid w:val="04E23328"/>
    <w:rsid w:val="04E377CC"/>
    <w:rsid w:val="04E43113"/>
    <w:rsid w:val="04E66BCB"/>
    <w:rsid w:val="04E71044"/>
    <w:rsid w:val="04E946B7"/>
    <w:rsid w:val="04EA0D61"/>
    <w:rsid w:val="04EA3753"/>
    <w:rsid w:val="04EA6DAD"/>
    <w:rsid w:val="04EB042F"/>
    <w:rsid w:val="04ED41A7"/>
    <w:rsid w:val="04F03492"/>
    <w:rsid w:val="04F05A45"/>
    <w:rsid w:val="04F14737"/>
    <w:rsid w:val="04F217BD"/>
    <w:rsid w:val="04F27A0F"/>
    <w:rsid w:val="04F30983"/>
    <w:rsid w:val="04F55751"/>
    <w:rsid w:val="04F94333"/>
    <w:rsid w:val="04FA68C4"/>
    <w:rsid w:val="04FD0162"/>
    <w:rsid w:val="05017C52"/>
    <w:rsid w:val="050634BB"/>
    <w:rsid w:val="050B0AD1"/>
    <w:rsid w:val="050B6D23"/>
    <w:rsid w:val="050D4849"/>
    <w:rsid w:val="051A51B8"/>
    <w:rsid w:val="051A60E2"/>
    <w:rsid w:val="051A6F66"/>
    <w:rsid w:val="051C4A8C"/>
    <w:rsid w:val="051E0804"/>
    <w:rsid w:val="051E25B2"/>
    <w:rsid w:val="051F632A"/>
    <w:rsid w:val="05241B93"/>
    <w:rsid w:val="0526590B"/>
    <w:rsid w:val="05266D56"/>
    <w:rsid w:val="052A53FB"/>
    <w:rsid w:val="053242B0"/>
    <w:rsid w:val="05340028"/>
    <w:rsid w:val="05376AE2"/>
    <w:rsid w:val="05377368"/>
    <w:rsid w:val="053973EC"/>
    <w:rsid w:val="053A13B6"/>
    <w:rsid w:val="053E2C54"/>
    <w:rsid w:val="053E2F29"/>
    <w:rsid w:val="053F69CD"/>
    <w:rsid w:val="05410997"/>
    <w:rsid w:val="0543026B"/>
    <w:rsid w:val="054364BD"/>
    <w:rsid w:val="0548177D"/>
    <w:rsid w:val="054A784B"/>
    <w:rsid w:val="054B35C3"/>
    <w:rsid w:val="054B711F"/>
    <w:rsid w:val="054D10EA"/>
    <w:rsid w:val="054D2E98"/>
    <w:rsid w:val="054E09BE"/>
    <w:rsid w:val="05500BDA"/>
    <w:rsid w:val="055204AE"/>
    <w:rsid w:val="05526700"/>
    <w:rsid w:val="05573D16"/>
    <w:rsid w:val="0558047E"/>
    <w:rsid w:val="0559183C"/>
    <w:rsid w:val="05597A8E"/>
    <w:rsid w:val="055A3B91"/>
    <w:rsid w:val="055C132D"/>
    <w:rsid w:val="055C3A53"/>
    <w:rsid w:val="055C757F"/>
    <w:rsid w:val="055E32F7"/>
    <w:rsid w:val="05634469"/>
    <w:rsid w:val="05681A7F"/>
    <w:rsid w:val="0569753F"/>
    <w:rsid w:val="056A1F45"/>
    <w:rsid w:val="056A57F8"/>
    <w:rsid w:val="056B1570"/>
    <w:rsid w:val="056B6E2D"/>
    <w:rsid w:val="056D178C"/>
    <w:rsid w:val="056D353A"/>
    <w:rsid w:val="056D52E8"/>
    <w:rsid w:val="056F1060"/>
    <w:rsid w:val="056F72B2"/>
    <w:rsid w:val="05706B86"/>
    <w:rsid w:val="057228FE"/>
    <w:rsid w:val="05731549"/>
    <w:rsid w:val="0575419C"/>
    <w:rsid w:val="057743B8"/>
    <w:rsid w:val="05776166"/>
    <w:rsid w:val="057A17B3"/>
    <w:rsid w:val="057B7A05"/>
    <w:rsid w:val="05812B41"/>
    <w:rsid w:val="05832D5D"/>
    <w:rsid w:val="058368B9"/>
    <w:rsid w:val="058979DF"/>
    <w:rsid w:val="058B39C0"/>
    <w:rsid w:val="058D598A"/>
    <w:rsid w:val="058F525E"/>
    <w:rsid w:val="05922FA0"/>
    <w:rsid w:val="05953E92"/>
    <w:rsid w:val="0595565C"/>
    <w:rsid w:val="05962A91"/>
    <w:rsid w:val="05972365"/>
    <w:rsid w:val="05976809"/>
    <w:rsid w:val="059A3C03"/>
    <w:rsid w:val="059A49D0"/>
    <w:rsid w:val="059B00A7"/>
    <w:rsid w:val="059B1E55"/>
    <w:rsid w:val="059C5BCD"/>
    <w:rsid w:val="059C797B"/>
    <w:rsid w:val="05A056BD"/>
    <w:rsid w:val="05A351AD"/>
    <w:rsid w:val="05A37394"/>
    <w:rsid w:val="05A56137"/>
    <w:rsid w:val="05A607FA"/>
    <w:rsid w:val="05A625A8"/>
    <w:rsid w:val="05A821ED"/>
    <w:rsid w:val="05A84572"/>
    <w:rsid w:val="05A86320"/>
    <w:rsid w:val="05AA653C"/>
    <w:rsid w:val="05AB7BBE"/>
    <w:rsid w:val="05AD1B88"/>
    <w:rsid w:val="05AD2488"/>
    <w:rsid w:val="05B3407D"/>
    <w:rsid w:val="05B44CC5"/>
    <w:rsid w:val="05B6336E"/>
    <w:rsid w:val="05BB6053"/>
    <w:rsid w:val="05BE3D95"/>
    <w:rsid w:val="05C23886"/>
    <w:rsid w:val="05C25634"/>
    <w:rsid w:val="05C313AC"/>
    <w:rsid w:val="05C56ED2"/>
    <w:rsid w:val="05C70E9C"/>
    <w:rsid w:val="05C72C4A"/>
    <w:rsid w:val="05C84C14"/>
    <w:rsid w:val="05CA273A"/>
    <w:rsid w:val="05CD3EB3"/>
    <w:rsid w:val="05CE7F14"/>
    <w:rsid w:val="05D47115"/>
    <w:rsid w:val="05D53AD5"/>
    <w:rsid w:val="05D67331"/>
    <w:rsid w:val="05D709B3"/>
    <w:rsid w:val="05D90BCF"/>
    <w:rsid w:val="05DD246D"/>
    <w:rsid w:val="05DE1D42"/>
    <w:rsid w:val="05DE61E6"/>
    <w:rsid w:val="05E03D0C"/>
    <w:rsid w:val="05E27A84"/>
    <w:rsid w:val="05E355AA"/>
    <w:rsid w:val="05E4213A"/>
    <w:rsid w:val="05E57574"/>
    <w:rsid w:val="05E7509A"/>
    <w:rsid w:val="05E7762B"/>
    <w:rsid w:val="05E86EBE"/>
    <w:rsid w:val="05E97064"/>
    <w:rsid w:val="05EA4B8A"/>
    <w:rsid w:val="05EA6938"/>
    <w:rsid w:val="05EB4FCC"/>
    <w:rsid w:val="05EC445F"/>
    <w:rsid w:val="05ED6429"/>
    <w:rsid w:val="05EE467B"/>
    <w:rsid w:val="05F11A75"/>
    <w:rsid w:val="05F15DFC"/>
    <w:rsid w:val="05F23A3F"/>
    <w:rsid w:val="05F72E03"/>
    <w:rsid w:val="05F902FF"/>
    <w:rsid w:val="05F94DCD"/>
    <w:rsid w:val="05FD496D"/>
    <w:rsid w:val="05FD666C"/>
    <w:rsid w:val="06020126"/>
    <w:rsid w:val="06023C82"/>
    <w:rsid w:val="06035C4C"/>
    <w:rsid w:val="060519C4"/>
    <w:rsid w:val="0607573C"/>
    <w:rsid w:val="060774EA"/>
    <w:rsid w:val="060807B1"/>
    <w:rsid w:val="060914B4"/>
    <w:rsid w:val="060929C5"/>
    <w:rsid w:val="060A6FDB"/>
    <w:rsid w:val="060D7A9D"/>
    <w:rsid w:val="060F2843"/>
    <w:rsid w:val="06113EC5"/>
    <w:rsid w:val="061340E1"/>
    <w:rsid w:val="06136DB7"/>
    <w:rsid w:val="06163BD1"/>
    <w:rsid w:val="061821C8"/>
    <w:rsid w:val="06191E33"/>
    <w:rsid w:val="061E0B8A"/>
    <w:rsid w:val="061E4834"/>
    <w:rsid w:val="061E65E2"/>
    <w:rsid w:val="06233BF8"/>
    <w:rsid w:val="06253E14"/>
    <w:rsid w:val="0627193B"/>
    <w:rsid w:val="06293905"/>
    <w:rsid w:val="062A142B"/>
    <w:rsid w:val="062C0CFF"/>
    <w:rsid w:val="062E4A77"/>
    <w:rsid w:val="063066C1"/>
    <w:rsid w:val="063302DF"/>
    <w:rsid w:val="06336531"/>
    <w:rsid w:val="063522A9"/>
    <w:rsid w:val="06384302"/>
    <w:rsid w:val="063876A4"/>
    <w:rsid w:val="063B7194"/>
    <w:rsid w:val="063F6C84"/>
    <w:rsid w:val="06400C4E"/>
    <w:rsid w:val="064047AA"/>
    <w:rsid w:val="064417AA"/>
    <w:rsid w:val="06446CDF"/>
    <w:rsid w:val="06450013"/>
    <w:rsid w:val="06473D8B"/>
    <w:rsid w:val="0648365F"/>
    <w:rsid w:val="064A387B"/>
    <w:rsid w:val="064A5629"/>
    <w:rsid w:val="064A73D7"/>
    <w:rsid w:val="064C75F3"/>
    <w:rsid w:val="064E336B"/>
    <w:rsid w:val="064E6EC7"/>
    <w:rsid w:val="064F2C3F"/>
    <w:rsid w:val="06502589"/>
    <w:rsid w:val="065546FA"/>
    <w:rsid w:val="06562220"/>
    <w:rsid w:val="065663FB"/>
    <w:rsid w:val="0659586C"/>
    <w:rsid w:val="065A1D10"/>
    <w:rsid w:val="065A3ABE"/>
    <w:rsid w:val="065B15E4"/>
    <w:rsid w:val="065B5A88"/>
    <w:rsid w:val="065D535C"/>
    <w:rsid w:val="065D710A"/>
    <w:rsid w:val="065E2E82"/>
    <w:rsid w:val="065F10D4"/>
    <w:rsid w:val="06604C4F"/>
    <w:rsid w:val="0661499E"/>
    <w:rsid w:val="0662434B"/>
    <w:rsid w:val="0665331F"/>
    <w:rsid w:val="06695AAF"/>
    <w:rsid w:val="066C559F"/>
    <w:rsid w:val="066C61B1"/>
    <w:rsid w:val="066E7569"/>
    <w:rsid w:val="06700194"/>
    <w:rsid w:val="067032E2"/>
    <w:rsid w:val="06744454"/>
    <w:rsid w:val="067508F8"/>
    <w:rsid w:val="067A4160"/>
    <w:rsid w:val="067D155B"/>
    <w:rsid w:val="067F52D3"/>
    <w:rsid w:val="06802AF8"/>
    <w:rsid w:val="06826B71"/>
    <w:rsid w:val="068428E9"/>
    <w:rsid w:val="068648B3"/>
    <w:rsid w:val="0686696A"/>
    <w:rsid w:val="0687062B"/>
    <w:rsid w:val="068723D9"/>
    <w:rsid w:val="068766B9"/>
    <w:rsid w:val="06897EFF"/>
    <w:rsid w:val="068A3C77"/>
    <w:rsid w:val="068B011B"/>
    <w:rsid w:val="068D4F99"/>
    <w:rsid w:val="068E5516"/>
    <w:rsid w:val="069468A4"/>
    <w:rsid w:val="06954AF6"/>
    <w:rsid w:val="06976AC0"/>
    <w:rsid w:val="069A0A43"/>
    <w:rsid w:val="069A210C"/>
    <w:rsid w:val="069A751C"/>
    <w:rsid w:val="069B5E85"/>
    <w:rsid w:val="069B6EEA"/>
    <w:rsid w:val="069B7C33"/>
    <w:rsid w:val="069D39AB"/>
    <w:rsid w:val="069D7E4F"/>
    <w:rsid w:val="06A27213"/>
    <w:rsid w:val="06A44D39"/>
    <w:rsid w:val="06A72A7B"/>
    <w:rsid w:val="06A905A2"/>
    <w:rsid w:val="06AD62E4"/>
    <w:rsid w:val="06B036DE"/>
    <w:rsid w:val="06B225CD"/>
    <w:rsid w:val="06B24A53"/>
    <w:rsid w:val="06B46E17"/>
    <w:rsid w:val="06B502A7"/>
    <w:rsid w:val="06B50CF4"/>
    <w:rsid w:val="06B55198"/>
    <w:rsid w:val="06B61737"/>
    <w:rsid w:val="06BA630B"/>
    <w:rsid w:val="06BB2083"/>
    <w:rsid w:val="06BC6527"/>
    <w:rsid w:val="06BD229F"/>
    <w:rsid w:val="06C13B3D"/>
    <w:rsid w:val="06C21663"/>
    <w:rsid w:val="06C3378D"/>
    <w:rsid w:val="06C45BA7"/>
    <w:rsid w:val="06C62F02"/>
    <w:rsid w:val="06C673A5"/>
    <w:rsid w:val="06C76C7A"/>
    <w:rsid w:val="06CB0518"/>
    <w:rsid w:val="06CB3C0E"/>
    <w:rsid w:val="06CB49BC"/>
    <w:rsid w:val="06CB4DDC"/>
    <w:rsid w:val="06CD79BD"/>
    <w:rsid w:val="06CE1DB6"/>
    <w:rsid w:val="06CF67EC"/>
    <w:rsid w:val="06D25D4A"/>
    <w:rsid w:val="06D27AF8"/>
    <w:rsid w:val="06D33870"/>
    <w:rsid w:val="06D505D2"/>
    <w:rsid w:val="06D53145"/>
    <w:rsid w:val="06D575E9"/>
    <w:rsid w:val="06D73361"/>
    <w:rsid w:val="06D870D9"/>
    <w:rsid w:val="06DB4B92"/>
    <w:rsid w:val="06DC3458"/>
    <w:rsid w:val="06E17D3B"/>
    <w:rsid w:val="06E17E21"/>
    <w:rsid w:val="06E21E94"/>
    <w:rsid w:val="06E24753"/>
    <w:rsid w:val="06E31BE3"/>
    <w:rsid w:val="06E31D05"/>
    <w:rsid w:val="06E432D0"/>
    <w:rsid w:val="06E45A7E"/>
    <w:rsid w:val="06E96BF0"/>
    <w:rsid w:val="06EB4A0C"/>
    <w:rsid w:val="06EB6E0C"/>
    <w:rsid w:val="06F15AA5"/>
    <w:rsid w:val="06F2019A"/>
    <w:rsid w:val="06F35CC1"/>
    <w:rsid w:val="06F37A6F"/>
    <w:rsid w:val="06F57D73"/>
    <w:rsid w:val="06F7130D"/>
    <w:rsid w:val="06F85085"/>
    <w:rsid w:val="06FF01C2"/>
    <w:rsid w:val="06FF6413"/>
    <w:rsid w:val="07024687"/>
    <w:rsid w:val="07027CB2"/>
    <w:rsid w:val="07034156"/>
    <w:rsid w:val="07040B8F"/>
    <w:rsid w:val="07061550"/>
    <w:rsid w:val="070677A2"/>
    <w:rsid w:val="070752C8"/>
    <w:rsid w:val="07091DCE"/>
    <w:rsid w:val="070B125C"/>
    <w:rsid w:val="070B300A"/>
    <w:rsid w:val="070E313E"/>
    <w:rsid w:val="070E48A8"/>
    <w:rsid w:val="07106873"/>
    <w:rsid w:val="07133C6D"/>
    <w:rsid w:val="07154D23"/>
    <w:rsid w:val="0717375D"/>
    <w:rsid w:val="071933F3"/>
    <w:rsid w:val="071A149F"/>
    <w:rsid w:val="071A324D"/>
    <w:rsid w:val="071C5217"/>
    <w:rsid w:val="071D4AEC"/>
    <w:rsid w:val="071E100A"/>
    <w:rsid w:val="071F0864"/>
    <w:rsid w:val="07222102"/>
    <w:rsid w:val="07224756"/>
    <w:rsid w:val="07230354"/>
    <w:rsid w:val="072365A6"/>
    <w:rsid w:val="07243F59"/>
    <w:rsid w:val="072440CC"/>
    <w:rsid w:val="07261BF2"/>
    <w:rsid w:val="072678E3"/>
    <w:rsid w:val="07287718"/>
    <w:rsid w:val="07293490"/>
    <w:rsid w:val="07295DA1"/>
    <w:rsid w:val="072A7934"/>
    <w:rsid w:val="072B1256"/>
    <w:rsid w:val="072D4D2F"/>
    <w:rsid w:val="073065CD"/>
    <w:rsid w:val="07336117"/>
    <w:rsid w:val="07341AD0"/>
    <w:rsid w:val="0736405C"/>
    <w:rsid w:val="07372051"/>
    <w:rsid w:val="073836D3"/>
    <w:rsid w:val="07391925"/>
    <w:rsid w:val="073A6C93"/>
    <w:rsid w:val="073A744C"/>
    <w:rsid w:val="073E6F3C"/>
    <w:rsid w:val="07416A2C"/>
    <w:rsid w:val="07487DBA"/>
    <w:rsid w:val="07497901"/>
    <w:rsid w:val="074A1D85"/>
    <w:rsid w:val="074A3B33"/>
    <w:rsid w:val="074B78AB"/>
    <w:rsid w:val="074E2EF7"/>
    <w:rsid w:val="074E3773"/>
    <w:rsid w:val="07500A1D"/>
    <w:rsid w:val="07520C39"/>
    <w:rsid w:val="07563920"/>
    <w:rsid w:val="0757624F"/>
    <w:rsid w:val="07583E9D"/>
    <w:rsid w:val="075873F6"/>
    <w:rsid w:val="075B5D40"/>
    <w:rsid w:val="075C0948"/>
    <w:rsid w:val="075E75DE"/>
    <w:rsid w:val="075F6EB2"/>
    <w:rsid w:val="07605B88"/>
    <w:rsid w:val="07610E7C"/>
    <w:rsid w:val="076252BA"/>
    <w:rsid w:val="0765096C"/>
    <w:rsid w:val="076646E5"/>
    <w:rsid w:val="07677572"/>
    <w:rsid w:val="076D15CF"/>
    <w:rsid w:val="076D18CD"/>
    <w:rsid w:val="077216DE"/>
    <w:rsid w:val="07723089"/>
    <w:rsid w:val="07745D41"/>
    <w:rsid w:val="077961C6"/>
    <w:rsid w:val="07816602"/>
    <w:rsid w:val="07843E94"/>
    <w:rsid w:val="07854B6B"/>
    <w:rsid w:val="078660CC"/>
    <w:rsid w:val="0788465B"/>
    <w:rsid w:val="07890AC6"/>
    <w:rsid w:val="078A03D3"/>
    <w:rsid w:val="078B7CA7"/>
    <w:rsid w:val="078D1C71"/>
    <w:rsid w:val="078F2096"/>
    <w:rsid w:val="078F7797"/>
    <w:rsid w:val="079052BE"/>
    <w:rsid w:val="079160F7"/>
    <w:rsid w:val="079166EF"/>
    <w:rsid w:val="079254DA"/>
    <w:rsid w:val="079335E8"/>
    <w:rsid w:val="0798744C"/>
    <w:rsid w:val="079C1EB4"/>
    <w:rsid w:val="079C320A"/>
    <w:rsid w:val="079E79DA"/>
    <w:rsid w:val="079F3753"/>
    <w:rsid w:val="07A0147A"/>
    <w:rsid w:val="07A07BF6"/>
    <w:rsid w:val="07A2040D"/>
    <w:rsid w:val="07A62D33"/>
    <w:rsid w:val="07A80520"/>
    <w:rsid w:val="07A82607"/>
    <w:rsid w:val="07AD40C1"/>
    <w:rsid w:val="07AE39F0"/>
    <w:rsid w:val="07AF3996"/>
    <w:rsid w:val="07B23486"/>
    <w:rsid w:val="07B44062"/>
    <w:rsid w:val="07B70A9C"/>
    <w:rsid w:val="07BC10B3"/>
    <w:rsid w:val="07BC2556"/>
    <w:rsid w:val="07BE62CF"/>
    <w:rsid w:val="07C05BA3"/>
    <w:rsid w:val="07C1191B"/>
    <w:rsid w:val="07C5765D"/>
    <w:rsid w:val="07C66F31"/>
    <w:rsid w:val="07C733D5"/>
    <w:rsid w:val="07C80EFB"/>
    <w:rsid w:val="07C94E18"/>
    <w:rsid w:val="07CA6A21"/>
    <w:rsid w:val="07CC22C3"/>
    <w:rsid w:val="07CD02C0"/>
    <w:rsid w:val="07CF4038"/>
    <w:rsid w:val="07CF440A"/>
    <w:rsid w:val="07D0390C"/>
    <w:rsid w:val="07D23B28"/>
    <w:rsid w:val="07D26499"/>
    <w:rsid w:val="07D4164E"/>
    <w:rsid w:val="07D478A0"/>
    <w:rsid w:val="07D50BE2"/>
    <w:rsid w:val="07D57174"/>
    <w:rsid w:val="07D7113E"/>
    <w:rsid w:val="07D77390"/>
    <w:rsid w:val="07DB2536"/>
    <w:rsid w:val="07DB26EC"/>
    <w:rsid w:val="07DE071F"/>
    <w:rsid w:val="07E06245"/>
    <w:rsid w:val="07E31891"/>
    <w:rsid w:val="07E76EF1"/>
    <w:rsid w:val="07E8334B"/>
    <w:rsid w:val="07E850FA"/>
    <w:rsid w:val="07E92CA1"/>
    <w:rsid w:val="07EA2C20"/>
    <w:rsid w:val="07EA78F4"/>
    <w:rsid w:val="07EF46DA"/>
    <w:rsid w:val="07F10452"/>
    <w:rsid w:val="07F13FAE"/>
    <w:rsid w:val="07F17513"/>
    <w:rsid w:val="07F27D26"/>
    <w:rsid w:val="07F341CA"/>
    <w:rsid w:val="07F65A68"/>
    <w:rsid w:val="07F86735"/>
    <w:rsid w:val="07F92E63"/>
    <w:rsid w:val="07F933E3"/>
    <w:rsid w:val="07FB4E2D"/>
    <w:rsid w:val="07FB6BDB"/>
    <w:rsid w:val="07FC2953"/>
    <w:rsid w:val="07FF76F8"/>
    <w:rsid w:val="08057A5A"/>
    <w:rsid w:val="080A5070"/>
    <w:rsid w:val="080A561C"/>
    <w:rsid w:val="080C0DE8"/>
    <w:rsid w:val="081128A2"/>
    <w:rsid w:val="08122176"/>
    <w:rsid w:val="081303C8"/>
    <w:rsid w:val="08145EEF"/>
    <w:rsid w:val="08147C9D"/>
    <w:rsid w:val="08155C5D"/>
    <w:rsid w:val="08163A15"/>
    <w:rsid w:val="081859DF"/>
    <w:rsid w:val="08193505"/>
    <w:rsid w:val="081C4DA3"/>
    <w:rsid w:val="081E6D6D"/>
    <w:rsid w:val="08204893"/>
    <w:rsid w:val="0822060B"/>
    <w:rsid w:val="08236132"/>
    <w:rsid w:val="08236FF3"/>
    <w:rsid w:val="08275C22"/>
    <w:rsid w:val="0828199A"/>
    <w:rsid w:val="082A3964"/>
    <w:rsid w:val="082B4195"/>
    <w:rsid w:val="082D0D5E"/>
    <w:rsid w:val="082D632F"/>
    <w:rsid w:val="08307A2C"/>
    <w:rsid w:val="0831084F"/>
    <w:rsid w:val="08314CF2"/>
    <w:rsid w:val="08326375"/>
    <w:rsid w:val="08337AC1"/>
    <w:rsid w:val="083420ED"/>
    <w:rsid w:val="08346591"/>
    <w:rsid w:val="08362309"/>
    <w:rsid w:val="083640B7"/>
    <w:rsid w:val="08393BA7"/>
    <w:rsid w:val="08394F94"/>
    <w:rsid w:val="08397703"/>
    <w:rsid w:val="083B347B"/>
    <w:rsid w:val="083D48CB"/>
    <w:rsid w:val="083E4D1A"/>
    <w:rsid w:val="08406CE4"/>
    <w:rsid w:val="08413E1A"/>
    <w:rsid w:val="08422A5C"/>
    <w:rsid w:val="084367D4"/>
    <w:rsid w:val="08442840"/>
    <w:rsid w:val="08444D3B"/>
    <w:rsid w:val="08471E20"/>
    <w:rsid w:val="08485B98"/>
    <w:rsid w:val="08493DEA"/>
    <w:rsid w:val="084A7B62"/>
    <w:rsid w:val="084C7436"/>
    <w:rsid w:val="084E1932"/>
    <w:rsid w:val="08510EF1"/>
    <w:rsid w:val="085A5FF7"/>
    <w:rsid w:val="085B3B1D"/>
    <w:rsid w:val="085D1644"/>
    <w:rsid w:val="085D7896"/>
    <w:rsid w:val="085E716A"/>
    <w:rsid w:val="085F360E"/>
    <w:rsid w:val="08602EE2"/>
    <w:rsid w:val="0860742D"/>
    <w:rsid w:val="086230FE"/>
    <w:rsid w:val="08624EAC"/>
    <w:rsid w:val="08626C5A"/>
    <w:rsid w:val="08687FE8"/>
    <w:rsid w:val="086C1887"/>
    <w:rsid w:val="086E1AA3"/>
    <w:rsid w:val="086E55FF"/>
    <w:rsid w:val="0870581B"/>
    <w:rsid w:val="08707F84"/>
    <w:rsid w:val="08713341"/>
    <w:rsid w:val="08716E9D"/>
    <w:rsid w:val="08723195"/>
    <w:rsid w:val="08730E67"/>
    <w:rsid w:val="08745B19"/>
    <w:rsid w:val="08752E31"/>
    <w:rsid w:val="0878105A"/>
    <w:rsid w:val="087A0447"/>
    <w:rsid w:val="087B4212"/>
    <w:rsid w:val="087C0E6B"/>
    <w:rsid w:val="087F635C"/>
    <w:rsid w:val="088017D6"/>
    <w:rsid w:val="08844E22"/>
    <w:rsid w:val="08874912"/>
    <w:rsid w:val="08892439"/>
    <w:rsid w:val="088968DD"/>
    <w:rsid w:val="0891753F"/>
    <w:rsid w:val="08931509"/>
    <w:rsid w:val="08941CC3"/>
    <w:rsid w:val="08964B56"/>
    <w:rsid w:val="08966904"/>
    <w:rsid w:val="089963F4"/>
    <w:rsid w:val="089A2898"/>
    <w:rsid w:val="089C2799"/>
    <w:rsid w:val="089D4136"/>
    <w:rsid w:val="089D7C92"/>
    <w:rsid w:val="089F7EAE"/>
    <w:rsid w:val="08A035CA"/>
    <w:rsid w:val="08A05695"/>
    <w:rsid w:val="08A13C26"/>
    <w:rsid w:val="08A234FA"/>
    <w:rsid w:val="08A52C48"/>
    <w:rsid w:val="08A52FEB"/>
    <w:rsid w:val="08A54D99"/>
    <w:rsid w:val="08A6123D"/>
    <w:rsid w:val="08A640D8"/>
    <w:rsid w:val="08A76D63"/>
    <w:rsid w:val="08A8306C"/>
    <w:rsid w:val="08A96637"/>
    <w:rsid w:val="08B03E69"/>
    <w:rsid w:val="08B13240"/>
    <w:rsid w:val="08B1373D"/>
    <w:rsid w:val="08B17BE1"/>
    <w:rsid w:val="08B374B6"/>
    <w:rsid w:val="08B651F8"/>
    <w:rsid w:val="08B82D1E"/>
    <w:rsid w:val="08B84ACC"/>
    <w:rsid w:val="08BD6586"/>
    <w:rsid w:val="08C15EE6"/>
    <w:rsid w:val="08C23B9D"/>
    <w:rsid w:val="08C42DA6"/>
    <w:rsid w:val="08C461D1"/>
    <w:rsid w:val="08C6543B"/>
    <w:rsid w:val="08C77405"/>
    <w:rsid w:val="08C96CD9"/>
    <w:rsid w:val="08CA2761"/>
    <w:rsid w:val="08CE2541"/>
    <w:rsid w:val="08D062B9"/>
    <w:rsid w:val="08D12032"/>
    <w:rsid w:val="08D35DAA"/>
    <w:rsid w:val="08D71D8F"/>
    <w:rsid w:val="08D81C11"/>
    <w:rsid w:val="08D86F1C"/>
    <w:rsid w:val="08DB07BA"/>
    <w:rsid w:val="08DC4C5E"/>
    <w:rsid w:val="08DD09D6"/>
    <w:rsid w:val="08DD4532"/>
    <w:rsid w:val="08DF591E"/>
    <w:rsid w:val="08DF682A"/>
    <w:rsid w:val="08E43B13"/>
    <w:rsid w:val="08E51639"/>
    <w:rsid w:val="08E65ADD"/>
    <w:rsid w:val="08E729FB"/>
    <w:rsid w:val="08E91129"/>
    <w:rsid w:val="08EA137C"/>
    <w:rsid w:val="08EA41A4"/>
    <w:rsid w:val="08ED512C"/>
    <w:rsid w:val="08EE4992"/>
    <w:rsid w:val="08F0070A"/>
    <w:rsid w:val="08F0261D"/>
    <w:rsid w:val="08F31FA8"/>
    <w:rsid w:val="08F63846"/>
    <w:rsid w:val="08F655F4"/>
    <w:rsid w:val="08F676D9"/>
    <w:rsid w:val="08F8136C"/>
    <w:rsid w:val="08FB0871"/>
    <w:rsid w:val="08FD6FB7"/>
    <w:rsid w:val="08FF26FB"/>
    <w:rsid w:val="09000221"/>
    <w:rsid w:val="09023F99"/>
    <w:rsid w:val="09045F63"/>
    <w:rsid w:val="09067F2D"/>
    <w:rsid w:val="09075A53"/>
    <w:rsid w:val="09077801"/>
    <w:rsid w:val="09093579"/>
    <w:rsid w:val="090A12E5"/>
    <w:rsid w:val="090B72F2"/>
    <w:rsid w:val="090D12BC"/>
    <w:rsid w:val="090F79F0"/>
    <w:rsid w:val="09104908"/>
    <w:rsid w:val="091268D2"/>
    <w:rsid w:val="091343F8"/>
    <w:rsid w:val="09137F54"/>
    <w:rsid w:val="09161CBE"/>
    <w:rsid w:val="09175C96"/>
    <w:rsid w:val="091D0DD3"/>
    <w:rsid w:val="09216B15"/>
    <w:rsid w:val="0922463B"/>
    <w:rsid w:val="09242161"/>
    <w:rsid w:val="09246605"/>
    <w:rsid w:val="09247DCC"/>
    <w:rsid w:val="0926237D"/>
    <w:rsid w:val="0926412B"/>
    <w:rsid w:val="09265ED9"/>
    <w:rsid w:val="0928674D"/>
    <w:rsid w:val="092B1819"/>
    <w:rsid w:val="092C1016"/>
    <w:rsid w:val="092D370C"/>
    <w:rsid w:val="092E1232"/>
    <w:rsid w:val="092E2FE0"/>
    <w:rsid w:val="09322AD0"/>
    <w:rsid w:val="09330113"/>
    <w:rsid w:val="093323A4"/>
    <w:rsid w:val="09343170"/>
    <w:rsid w:val="0935436E"/>
    <w:rsid w:val="0936683A"/>
    <w:rsid w:val="09385C0D"/>
    <w:rsid w:val="093D1475"/>
    <w:rsid w:val="093D48A8"/>
    <w:rsid w:val="093F51ED"/>
    <w:rsid w:val="09412D13"/>
    <w:rsid w:val="09414AC1"/>
    <w:rsid w:val="09420839"/>
    <w:rsid w:val="09442803"/>
    <w:rsid w:val="0946032A"/>
    <w:rsid w:val="0946657C"/>
    <w:rsid w:val="094840A2"/>
    <w:rsid w:val="094B5940"/>
    <w:rsid w:val="094E71DE"/>
    <w:rsid w:val="095037F8"/>
    <w:rsid w:val="09505E00"/>
    <w:rsid w:val="095119BA"/>
    <w:rsid w:val="09523172"/>
    <w:rsid w:val="09532A47"/>
    <w:rsid w:val="09554A11"/>
    <w:rsid w:val="09562C2B"/>
    <w:rsid w:val="095A6AE5"/>
    <w:rsid w:val="095B73E3"/>
    <w:rsid w:val="095F3199"/>
    <w:rsid w:val="096133B5"/>
    <w:rsid w:val="09622C8A"/>
    <w:rsid w:val="09631DB4"/>
    <w:rsid w:val="0964077B"/>
    <w:rsid w:val="09640E51"/>
    <w:rsid w:val="0966277A"/>
    <w:rsid w:val="09672750"/>
    <w:rsid w:val="09684744"/>
    <w:rsid w:val="0969226A"/>
    <w:rsid w:val="096A04BC"/>
    <w:rsid w:val="096B5FE2"/>
    <w:rsid w:val="096B7D90"/>
    <w:rsid w:val="096D1D5A"/>
    <w:rsid w:val="096D58B6"/>
    <w:rsid w:val="096F5AD2"/>
    <w:rsid w:val="0970184A"/>
    <w:rsid w:val="09736C45"/>
    <w:rsid w:val="097430E9"/>
    <w:rsid w:val="09760E12"/>
    <w:rsid w:val="09781919"/>
    <w:rsid w:val="097906FF"/>
    <w:rsid w:val="09796E38"/>
    <w:rsid w:val="097A7FD3"/>
    <w:rsid w:val="097E3F67"/>
    <w:rsid w:val="097F383C"/>
    <w:rsid w:val="097F55EA"/>
    <w:rsid w:val="09811362"/>
    <w:rsid w:val="0983157E"/>
    <w:rsid w:val="09836790"/>
    <w:rsid w:val="09840E52"/>
    <w:rsid w:val="098552F6"/>
    <w:rsid w:val="09864BCA"/>
    <w:rsid w:val="09880942"/>
    <w:rsid w:val="09896468"/>
    <w:rsid w:val="098A46BA"/>
    <w:rsid w:val="098B21E0"/>
    <w:rsid w:val="098D5F59"/>
    <w:rsid w:val="098D7D07"/>
    <w:rsid w:val="09903C9B"/>
    <w:rsid w:val="099217C1"/>
    <w:rsid w:val="0992356F"/>
    <w:rsid w:val="09952584"/>
    <w:rsid w:val="0995305F"/>
    <w:rsid w:val="09975029"/>
    <w:rsid w:val="0998157E"/>
    <w:rsid w:val="099866AB"/>
    <w:rsid w:val="099948FD"/>
    <w:rsid w:val="099A0675"/>
    <w:rsid w:val="099B2460"/>
    <w:rsid w:val="099C43EE"/>
    <w:rsid w:val="099E0166"/>
    <w:rsid w:val="099F5C8C"/>
    <w:rsid w:val="09A11A04"/>
    <w:rsid w:val="09A43E33"/>
    <w:rsid w:val="09A514F4"/>
    <w:rsid w:val="09A60DC8"/>
    <w:rsid w:val="09A92667"/>
    <w:rsid w:val="09A950D4"/>
    <w:rsid w:val="09AA6B0A"/>
    <w:rsid w:val="09AB6350"/>
    <w:rsid w:val="09AB63DF"/>
    <w:rsid w:val="09AD2157"/>
    <w:rsid w:val="09B01C47"/>
    <w:rsid w:val="09B36186"/>
    <w:rsid w:val="09B434E5"/>
    <w:rsid w:val="09B51008"/>
    <w:rsid w:val="09B74D83"/>
    <w:rsid w:val="09B800B0"/>
    <w:rsid w:val="09B94F9F"/>
    <w:rsid w:val="09B96D4E"/>
    <w:rsid w:val="09BE6112"/>
    <w:rsid w:val="09C13E54"/>
    <w:rsid w:val="09C149B3"/>
    <w:rsid w:val="09C53944"/>
    <w:rsid w:val="09C6146A"/>
    <w:rsid w:val="09C63218"/>
    <w:rsid w:val="09C76373"/>
    <w:rsid w:val="09C86F91"/>
    <w:rsid w:val="09CB4CD3"/>
    <w:rsid w:val="09CB5382"/>
    <w:rsid w:val="09CB6A81"/>
    <w:rsid w:val="09CD0A4B"/>
    <w:rsid w:val="09CD27F9"/>
    <w:rsid w:val="09CF6571"/>
    <w:rsid w:val="09D36317"/>
    <w:rsid w:val="09D41DD9"/>
    <w:rsid w:val="09D516AE"/>
    <w:rsid w:val="09D9119E"/>
    <w:rsid w:val="09D93396"/>
    <w:rsid w:val="09DA6CC4"/>
    <w:rsid w:val="09DE4A06"/>
    <w:rsid w:val="09DE67B4"/>
    <w:rsid w:val="09DF606D"/>
    <w:rsid w:val="09E3201C"/>
    <w:rsid w:val="09E571AC"/>
    <w:rsid w:val="09E95F8D"/>
    <w:rsid w:val="09EA5159"/>
    <w:rsid w:val="09EB2C7F"/>
    <w:rsid w:val="09EC2210"/>
    <w:rsid w:val="09EC7123"/>
    <w:rsid w:val="09EE6308"/>
    <w:rsid w:val="09F47D86"/>
    <w:rsid w:val="09F558AC"/>
    <w:rsid w:val="09F71624"/>
    <w:rsid w:val="09FB3197"/>
    <w:rsid w:val="09FB7366"/>
    <w:rsid w:val="09FC30DE"/>
    <w:rsid w:val="09FE0C04"/>
    <w:rsid w:val="09FF5ECD"/>
    <w:rsid w:val="0A026946"/>
    <w:rsid w:val="0A03548A"/>
    <w:rsid w:val="0A047B22"/>
    <w:rsid w:val="0A051F93"/>
    <w:rsid w:val="0A0755FA"/>
    <w:rsid w:val="0A083831"/>
    <w:rsid w:val="0A0855DF"/>
    <w:rsid w:val="0A0B2D2F"/>
    <w:rsid w:val="0A0B50CF"/>
    <w:rsid w:val="0A0C3321"/>
    <w:rsid w:val="0A0F3905"/>
    <w:rsid w:val="0A0F4BBF"/>
    <w:rsid w:val="0A110938"/>
    <w:rsid w:val="0A122902"/>
    <w:rsid w:val="0A12530B"/>
    <w:rsid w:val="0A12645E"/>
    <w:rsid w:val="0A193C90"/>
    <w:rsid w:val="0A1A3B9F"/>
    <w:rsid w:val="0A1B17B6"/>
    <w:rsid w:val="0A1B3564"/>
    <w:rsid w:val="0A1C108A"/>
    <w:rsid w:val="0A1C5AC0"/>
    <w:rsid w:val="0A1C72DC"/>
    <w:rsid w:val="0A1E12A6"/>
    <w:rsid w:val="0A1E4E03"/>
    <w:rsid w:val="0A200B7B"/>
    <w:rsid w:val="0A2166A1"/>
    <w:rsid w:val="0A21777C"/>
    <w:rsid w:val="0A222B45"/>
    <w:rsid w:val="0A252635"/>
    <w:rsid w:val="0A254566"/>
    <w:rsid w:val="0A261F09"/>
    <w:rsid w:val="0A2756D7"/>
    <w:rsid w:val="0A2763AD"/>
    <w:rsid w:val="0A2A62FF"/>
    <w:rsid w:val="0A2A7C4B"/>
    <w:rsid w:val="0A2C17A5"/>
    <w:rsid w:val="0A2E3227"/>
    <w:rsid w:val="0A2F0DBE"/>
    <w:rsid w:val="0A3010C7"/>
    <w:rsid w:val="0A310FDA"/>
    <w:rsid w:val="0A326B00"/>
    <w:rsid w:val="0A334D52"/>
    <w:rsid w:val="0A342878"/>
    <w:rsid w:val="0A36214C"/>
    <w:rsid w:val="0A3665F0"/>
    <w:rsid w:val="0A3C3E5F"/>
    <w:rsid w:val="0A3D48EC"/>
    <w:rsid w:val="0A3E36F7"/>
    <w:rsid w:val="0A3E54A5"/>
    <w:rsid w:val="0A3E7253"/>
    <w:rsid w:val="0A3F75FD"/>
    <w:rsid w:val="0A474359"/>
    <w:rsid w:val="0A4800D1"/>
    <w:rsid w:val="0A481E7F"/>
    <w:rsid w:val="0A4B75EA"/>
    <w:rsid w:val="0A4D6167"/>
    <w:rsid w:val="0A4E0882"/>
    <w:rsid w:val="0A4E393A"/>
    <w:rsid w:val="0A4F320E"/>
    <w:rsid w:val="0A4F76B2"/>
    <w:rsid w:val="0A51342A"/>
    <w:rsid w:val="0A5151D8"/>
    <w:rsid w:val="0A516F86"/>
    <w:rsid w:val="0A5371A2"/>
    <w:rsid w:val="0A570314"/>
    <w:rsid w:val="0A580541"/>
    <w:rsid w:val="0A586566"/>
    <w:rsid w:val="0A5A3134"/>
    <w:rsid w:val="0A5C00B8"/>
    <w:rsid w:val="0A5C592B"/>
    <w:rsid w:val="0A5D1DCF"/>
    <w:rsid w:val="0A5D3B7D"/>
    <w:rsid w:val="0A5E78F5"/>
    <w:rsid w:val="0A5F5B47"/>
    <w:rsid w:val="0A60366D"/>
    <w:rsid w:val="0A60541B"/>
    <w:rsid w:val="0A634F0B"/>
    <w:rsid w:val="0A652A31"/>
    <w:rsid w:val="0A670558"/>
    <w:rsid w:val="0A672732"/>
    <w:rsid w:val="0A674A6C"/>
    <w:rsid w:val="0A681221"/>
    <w:rsid w:val="0A694E8C"/>
    <w:rsid w:val="0A6A2DB6"/>
    <w:rsid w:val="0A6C2012"/>
    <w:rsid w:val="0A6D0D3A"/>
    <w:rsid w:val="0A6F1B02"/>
    <w:rsid w:val="0A6F38B0"/>
    <w:rsid w:val="0A724AAE"/>
    <w:rsid w:val="0A726CE4"/>
    <w:rsid w:val="0A741F9F"/>
    <w:rsid w:val="0A786C09"/>
    <w:rsid w:val="0A7D421F"/>
    <w:rsid w:val="0A7F7F97"/>
    <w:rsid w:val="0A841FD0"/>
    <w:rsid w:val="0A854E82"/>
    <w:rsid w:val="0A8729A8"/>
    <w:rsid w:val="0A8A2498"/>
    <w:rsid w:val="0A8C6210"/>
    <w:rsid w:val="0A8F385B"/>
    <w:rsid w:val="0A8F3F52"/>
    <w:rsid w:val="0A8F5D00"/>
    <w:rsid w:val="0A8F6BA7"/>
    <w:rsid w:val="0A8F7AAE"/>
    <w:rsid w:val="0A92134D"/>
    <w:rsid w:val="0A922957"/>
    <w:rsid w:val="0A9357F1"/>
    <w:rsid w:val="0A962768"/>
    <w:rsid w:val="0A984BB5"/>
    <w:rsid w:val="0A9D041D"/>
    <w:rsid w:val="0A9E7CF1"/>
    <w:rsid w:val="0AA04F5B"/>
    <w:rsid w:val="0AA23C86"/>
    <w:rsid w:val="0AA25A34"/>
    <w:rsid w:val="0AA338DC"/>
    <w:rsid w:val="0AA479FE"/>
    <w:rsid w:val="0AA51080"/>
    <w:rsid w:val="0AA55524"/>
    <w:rsid w:val="0AA7129C"/>
    <w:rsid w:val="0AA96DC2"/>
    <w:rsid w:val="0AAC0660"/>
    <w:rsid w:val="0AAD0CA0"/>
    <w:rsid w:val="0AAD70F7"/>
    <w:rsid w:val="0AB15C77"/>
    <w:rsid w:val="0AB3379D"/>
    <w:rsid w:val="0AB51320"/>
    <w:rsid w:val="0AB731E2"/>
    <w:rsid w:val="0AB94B2B"/>
    <w:rsid w:val="0ABA1B63"/>
    <w:rsid w:val="0ABE2142"/>
    <w:rsid w:val="0ABE3F2D"/>
    <w:rsid w:val="0ABE41AE"/>
    <w:rsid w:val="0AC0410C"/>
    <w:rsid w:val="0AC105A6"/>
    <w:rsid w:val="0AC168AF"/>
    <w:rsid w:val="0AC21C32"/>
    <w:rsid w:val="0AC260D6"/>
    <w:rsid w:val="0AC44356"/>
    <w:rsid w:val="0AC459AA"/>
    <w:rsid w:val="0AC503B7"/>
    <w:rsid w:val="0ACB4229"/>
    <w:rsid w:val="0AD007F3"/>
    <w:rsid w:val="0AD16319"/>
    <w:rsid w:val="0AD32091"/>
    <w:rsid w:val="0AD33E3F"/>
    <w:rsid w:val="0AD41965"/>
    <w:rsid w:val="0AD55E09"/>
    <w:rsid w:val="0AD57BB7"/>
    <w:rsid w:val="0AD6392F"/>
    <w:rsid w:val="0ADA51CD"/>
    <w:rsid w:val="0ADD4CBE"/>
    <w:rsid w:val="0AE0030A"/>
    <w:rsid w:val="0AE0655C"/>
    <w:rsid w:val="0AE24082"/>
    <w:rsid w:val="0AE41BA8"/>
    <w:rsid w:val="0AE47E6C"/>
    <w:rsid w:val="0AE71698"/>
    <w:rsid w:val="0AE74A31"/>
    <w:rsid w:val="0AE918B4"/>
    <w:rsid w:val="0AF02C43"/>
    <w:rsid w:val="0AF03373"/>
    <w:rsid w:val="0AF10769"/>
    <w:rsid w:val="0AF2183F"/>
    <w:rsid w:val="0AF55D55"/>
    <w:rsid w:val="0AF73FD1"/>
    <w:rsid w:val="0AF81AF7"/>
    <w:rsid w:val="0AF83246"/>
    <w:rsid w:val="0AFA5870"/>
    <w:rsid w:val="0AFB3396"/>
    <w:rsid w:val="0AFB6FF6"/>
    <w:rsid w:val="0AFC15E8"/>
    <w:rsid w:val="0AFC1873"/>
    <w:rsid w:val="0AFD0EBC"/>
    <w:rsid w:val="0B006CC9"/>
    <w:rsid w:val="0B0417E9"/>
    <w:rsid w:val="0B04224A"/>
    <w:rsid w:val="0B043FF8"/>
    <w:rsid w:val="0B0443BA"/>
    <w:rsid w:val="0B071D3B"/>
    <w:rsid w:val="0B076A52"/>
    <w:rsid w:val="0B077F8D"/>
    <w:rsid w:val="0B09160F"/>
    <w:rsid w:val="0B095AB3"/>
    <w:rsid w:val="0B0A4D29"/>
    <w:rsid w:val="0B0A5387"/>
    <w:rsid w:val="0B0A565B"/>
    <w:rsid w:val="0B0B182B"/>
    <w:rsid w:val="0B0F299D"/>
    <w:rsid w:val="0B106E41"/>
    <w:rsid w:val="0B114967"/>
    <w:rsid w:val="0B116715"/>
    <w:rsid w:val="0B16053C"/>
    <w:rsid w:val="0B161F7E"/>
    <w:rsid w:val="0B163D2C"/>
    <w:rsid w:val="0B186F04"/>
    <w:rsid w:val="0B1870B9"/>
    <w:rsid w:val="0B1A7CC0"/>
    <w:rsid w:val="0B1C3A38"/>
    <w:rsid w:val="0B1D330C"/>
    <w:rsid w:val="0B1E459E"/>
    <w:rsid w:val="0B1F0E32"/>
    <w:rsid w:val="0B21104E"/>
    <w:rsid w:val="0B220922"/>
    <w:rsid w:val="0B226B74"/>
    <w:rsid w:val="0B24469B"/>
    <w:rsid w:val="0B266665"/>
    <w:rsid w:val="0B2823DD"/>
    <w:rsid w:val="0B2B3C7B"/>
    <w:rsid w:val="0B2C09F5"/>
    <w:rsid w:val="0B2C17A1"/>
    <w:rsid w:val="0B2C3F6E"/>
    <w:rsid w:val="0B2D79F3"/>
    <w:rsid w:val="0B2E376B"/>
    <w:rsid w:val="0B2E72C7"/>
    <w:rsid w:val="0B304DED"/>
    <w:rsid w:val="0B307376"/>
    <w:rsid w:val="0B330D82"/>
    <w:rsid w:val="0B3348DE"/>
    <w:rsid w:val="0B352404"/>
    <w:rsid w:val="0B354AFA"/>
    <w:rsid w:val="0B3568A8"/>
    <w:rsid w:val="0B36617C"/>
    <w:rsid w:val="0B3A5C6C"/>
    <w:rsid w:val="0B3B0C81"/>
    <w:rsid w:val="0B3C19E4"/>
    <w:rsid w:val="0B41349E"/>
    <w:rsid w:val="0B416FFB"/>
    <w:rsid w:val="0B424B21"/>
    <w:rsid w:val="0B444D3D"/>
    <w:rsid w:val="0B460AB5"/>
    <w:rsid w:val="0B462863"/>
    <w:rsid w:val="0B4765DB"/>
    <w:rsid w:val="0B48482D"/>
    <w:rsid w:val="0B494101"/>
    <w:rsid w:val="0B4A355A"/>
    <w:rsid w:val="0B4B540D"/>
    <w:rsid w:val="0B4B60CB"/>
    <w:rsid w:val="0B4C599F"/>
    <w:rsid w:val="0B4E34C6"/>
    <w:rsid w:val="0B4E7969"/>
    <w:rsid w:val="0B505490"/>
    <w:rsid w:val="0B50723E"/>
    <w:rsid w:val="0B512FB6"/>
    <w:rsid w:val="0B52745A"/>
    <w:rsid w:val="0B536D2E"/>
    <w:rsid w:val="0B537BAB"/>
    <w:rsid w:val="0B550CF8"/>
    <w:rsid w:val="0B571D4F"/>
    <w:rsid w:val="0B574A70"/>
    <w:rsid w:val="0B5778D8"/>
    <w:rsid w:val="0B5807E8"/>
    <w:rsid w:val="0B582596"/>
    <w:rsid w:val="0B584344"/>
    <w:rsid w:val="0B5A00BC"/>
    <w:rsid w:val="0B5C2086"/>
    <w:rsid w:val="0B5E5DFE"/>
    <w:rsid w:val="0B5F679A"/>
    <w:rsid w:val="0B610D74"/>
    <w:rsid w:val="0B6158EF"/>
    <w:rsid w:val="0B642CE9"/>
    <w:rsid w:val="0B664141"/>
    <w:rsid w:val="0B6755F8"/>
    <w:rsid w:val="0B6947A3"/>
    <w:rsid w:val="0B6B1E26"/>
    <w:rsid w:val="0B6B22C9"/>
    <w:rsid w:val="0B6D4294"/>
    <w:rsid w:val="0B6E1DBA"/>
    <w:rsid w:val="0B70235E"/>
    <w:rsid w:val="0B73117E"/>
    <w:rsid w:val="0B770C6E"/>
    <w:rsid w:val="0B776EC0"/>
    <w:rsid w:val="0B792C38"/>
    <w:rsid w:val="0B7C44D7"/>
    <w:rsid w:val="0B7F5D75"/>
    <w:rsid w:val="0B811AED"/>
    <w:rsid w:val="0B81389B"/>
    <w:rsid w:val="0B8200AD"/>
    <w:rsid w:val="0B8213C1"/>
    <w:rsid w:val="0B832C72"/>
    <w:rsid w:val="0B852261"/>
    <w:rsid w:val="0B8769D7"/>
    <w:rsid w:val="0B884C29"/>
    <w:rsid w:val="0B892750"/>
    <w:rsid w:val="0B8A7F80"/>
    <w:rsid w:val="0B8B64C8"/>
    <w:rsid w:val="0B8C5471"/>
    <w:rsid w:val="0B8D4DCB"/>
    <w:rsid w:val="0B901D30"/>
    <w:rsid w:val="0B93537C"/>
    <w:rsid w:val="0B996E37"/>
    <w:rsid w:val="0B9A2BAF"/>
    <w:rsid w:val="0B9A495D"/>
    <w:rsid w:val="0B9A670B"/>
    <w:rsid w:val="0B9C2E79"/>
    <w:rsid w:val="0B9E444D"/>
    <w:rsid w:val="0B9F01C5"/>
    <w:rsid w:val="0BA61553"/>
    <w:rsid w:val="0BA852CC"/>
    <w:rsid w:val="0BA94BA0"/>
    <w:rsid w:val="0BAA32F8"/>
    <w:rsid w:val="0BAB0918"/>
    <w:rsid w:val="0BAB09FF"/>
    <w:rsid w:val="0BAB4DBC"/>
    <w:rsid w:val="0BAD28E2"/>
    <w:rsid w:val="0BAD47AA"/>
    <w:rsid w:val="0BAE0408"/>
    <w:rsid w:val="0BAE21B6"/>
    <w:rsid w:val="0BB04180"/>
    <w:rsid w:val="0BB21CA6"/>
    <w:rsid w:val="0BB36EDB"/>
    <w:rsid w:val="0BB53545"/>
    <w:rsid w:val="0BB579E9"/>
    <w:rsid w:val="0BB7550F"/>
    <w:rsid w:val="0BB772BD"/>
    <w:rsid w:val="0BB971DF"/>
    <w:rsid w:val="0BBC0D77"/>
    <w:rsid w:val="0BBC2E0F"/>
    <w:rsid w:val="0BBD15A9"/>
    <w:rsid w:val="0BBD2B5E"/>
    <w:rsid w:val="0BBD429F"/>
    <w:rsid w:val="0BBE689D"/>
    <w:rsid w:val="0BC1013B"/>
    <w:rsid w:val="0BC24561"/>
    <w:rsid w:val="0BC33EB3"/>
    <w:rsid w:val="0BC35C62"/>
    <w:rsid w:val="0BC419DA"/>
    <w:rsid w:val="0BC65752"/>
    <w:rsid w:val="0BC72610"/>
    <w:rsid w:val="0BC814CA"/>
    <w:rsid w:val="0BC8771C"/>
    <w:rsid w:val="0BCB4B16"/>
    <w:rsid w:val="0BCC67A0"/>
    <w:rsid w:val="0BCD088E"/>
    <w:rsid w:val="0BCE4606"/>
    <w:rsid w:val="0BCF2858"/>
    <w:rsid w:val="0BD25EA5"/>
    <w:rsid w:val="0BD460C1"/>
    <w:rsid w:val="0BD75BB1"/>
    <w:rsid w:val="0BD762D6"/>
    <w:rsid w:val="0BD87233"/>
    <w:rsid w:val="0BDA11FD"/>
    <w:rsid w:val="0BDC6D23"/>
    <w:rsid w:val="0BDE6F3F"/>
    <w:rsid w:val="0BE04A65"/>
    <w:rsid w:val="0BE12940"/>
    <w:rsid w:val="0BE1520A"/>
    <w:rsid w:val="0BE300B2"/>
    <w:rsid w:val="0BE35FBA"/>
    <w:rsid w:val="0BE36304"/>
    <w:rsid w:val="0BE37780"/>
    <w:rsid w:val="0BE5207C"/>
    <w:rsid w:val="0BE62205"/>
    <w:rsid w:val="0BE8391A"/>
    <w:rsid w:val="0BEE4152"/>
    <w:rsid w:val="0BF202F5"/>
    <w:rsid w:val="0BFB189F"/>
    <w:rsid w:val="0BFC73C5"/>
    <w:rsid w:val="0BFE313E"/>
    <w:rsid w:val="0C0149DC"/>
    <w:rsid w:val="0C01678A"/>
    <w:rsid w:val="0C04484A"/>
    <w:rsid w:val="0C060244"/>
    <w:rsid w:val="0C061354"/>
    <w:rsid w:val="0C0A3890"/>
    <w:rsid w:val="0C0D3381"/>
    <w:rsid w:val="0C0F534B"/>
    <w:rsid w:val="0C1110C3"/>
    <w:rsid w:val="0C1224C8"/>
    <w:rsid w:val="0C1254F4"/>
    <w:rsid w:val="0C142961"/>
    <w:rsid w:val="0C172450"/>
    <w:rsid w:val="0C191D25"/>
    <w:rsid w:val="0C197F77"/>
    <w:rsid w:val="0C1C22EB"/>
    <w:rsid w:val="0C1C35C4"/>
    <w:rsid w:val="0C1C6680"/>
    <w:rsid w:val="0C1E10EA"/>
    <w:rsid w:val="0C1E1280"/>
    <w:rsid w:val="0C1F2AF1"/>
    <w:rsid w:val="0C201306"/>
    <w:rsid w:val="0C2030B4"/>
    <w:rsid w:val="0C216E2C"/>
    <w:rsid w:val="0C22507E"/>
    <w:rsid w:val="0C230DF6"/>
    <w:rsid w:val="0C234952"/>
    <w:rsid w:val="0C241F31"/>
    <w:rsid w:val="0C2661F0"/>
    <w:rsid w:val="0C272694"/>
    <w:rsid w:val="0C2A074F"/>
    <w:rsid w:val="0C2A7A8F"/>
    <w:rsid w:val="0C2C1FAA"/>
    <w:rsid w:val="0C2C7CAB"/>
    <w:rsid w:val="0C2D1E06"/>
    <w:rsid w:val="0C2D57D1"/>
    <w:rsid w:val="0C2E0560"/>
    <w:rsid w:val="0C2F32F7"/>
    <w:rsid w:val="0C300E1D"/>
    <w:rsid w:val="0C30706F"/>
    <w:rsid w:val="0C3152C1"/>
    <w:rsid w:val="0C321039"/>
    <w:rsid w:val="0C324B95"/>
    <w:rsid w:val="0C347916"/>
    <w:rsid w:val="0C364685"/>
    <w:rsid w:val="0C3703FE"/>
    <w:rsid w:val="0C3923C8"/>
    <w:rsid w:val="0C395F24"/>
    <w:rsid w:val="0C3A111C"/>
    <w:rsid w:val="0C3A451F"/>
    <w:rsid w:val="0C3B7EEE"/>
    <w:rsid w:val="0C3E178C"/>
    <w:rsid w:val="0C3E353A"/>
    <w:rsid w:val="0C3E79DE"/>
    <w:rsid w:val="0C4068A9"/>
    <w:rsid w:val="0C41127C"/>
    <w:rsid w:val="0C434FF4"/>
    <w:rsid w:val="0C436DA2"/>
    <w:rsid w:val="0C450D6C"/>
    <w:rsid w:val="0C452B1A"/>
    <w:rsid w:val="0C474AE5"/>
    <w:rsid w:val="0C4817EE"/>
    <w:rsid w:val="0C4843B9"/>
    <w:rsid w:val="0C50326D"/>
    <w:rsid w:val="0C54227B"/>
    <w:rsid w:val="0C542D5E"/>
    <w:rsid w:val="0C550884"/>
    <w:rsid w:val="0C5745FC"/>
    <w:rsid w:val="0C5965C6"/>
    <w:rsid w:val="0C5B0590"/>
    <w:rsid w:val="0C5B469B"/>
    <w:rsid w:val="0C5D03D7"/>
    <w:rsid w:val="0C5E3BDC"/>
    <w:rsid w:val="0C6236CC"/>
    <w:rsid w:val="0C637445"/>
    <w:rsid w:val="0C655ADA"/>
    <w:rsid w:val="0C6738AA"/>
    <w:rsid w:val="0C6A07D3"/>
    <w:rsid w:val="0C6A2581"/>
    <w:rsid w:val="0C6C454B"/>
    <w:rsid w:val="0C6C62F9"/>
    <w:rsid w:val="0C6D3E1F"/>
    <w:rsid w:val="0C6D4FE5"/>
    <w:rsid w:val="0C746CE6"/>
    <w:rsid w:val="0C7470E2"/>
    <w:rsid w:val="0C767178"/>
    <w:rsid w:val="0C7D0506"/>
    <w:rsid w:val="0C801897"/>
    <w:rsid w:val="0C807E08"/>
    <w:rsid w:val="0C810882"/>
    <w:rsid w:val="0C811298"/>
    <w:rsid w:val="0C825B1D"/>
    <w:rsid w:val="0C841027"/>
    <w:rsid w:val="0C85560D"/>
    <w:rsid w:val="0C8573BB"/>
    <w:rsid w:val="0C882A07"/>
    <w:rsid w:val="0C8925FB"/>
    <w:rsid w:val="0C8C0749"/>
    <w:rsid w:val="0C8E2713"/>
    <w:rsid w:val="0C8F3D96"/>
    <w:rsid w:val="0C9149E6"/>
    <w:rsid w:val="0C943AA2"/>
    <w:rsid w:val="0C945850"/>
    <w:rsid w:val="0C9615C8"/>
    <w:rsid w:val="0C985340"/>
    <w:rsid w:val="0C9870EE"/>
    <w:rsid w:val="0C9949B9"/>
    <w:rsid w:val="0C994C14"/>
    <w:rsid w:val="0C9A28AE"/>
    <w:rsid w:val="0C9B098C"/>
    <w:rsid w:val="0C9D4705"/>
    <w:rsid w:val="0CA06781"/>
    <w:rsid w:val="0CA21D1B"/>
    <w:rsid w:val="0CA35A93"/>
    <w:rsid w:val="0CA50693"/>
    <w:rsid w:val="0CA710DF"/>
    <w:rsid w:val="0CA737D5"/>
    <w:rsid w:val="0CA84E57"/>
    <w:rsid w:val="0CA912FB"/>
    <w:rsid w:val="0CAA5073"/>
    <w:rsid w:val="0CAD246E"/>
    <w:rsid w:val="0CAF268A"/>
    <w:rsid w:val="0CB101B0"/>
    <w:rsid w:val="0CB11F5E"/>
    <w:rsid w:val="0CB33F28"/>
    <w:rsid w:val="0CB41A4E"/>
    <w:rsid w:val="0CB90E13"/>
    <w:rsid w:val="0CB97065"/>
    <w:rsid w:val="0CBA3508"/>
    <w:rsid w:val="0CBD0903"/>
    <w:rsid w:val="0CBD4DA7"/>
    <w:rsid w:val="0CBD5E72"/>
    <w:rsid w:val="0CBD6B55"/>
    <w:rsid w:val="0CBE28CD"/>
    <w:rsid w:val="0CC021A1"/>
    <w:rsid w:val="0CC04897"/>
    <w:rsid w:val="0CC06645"/>
    <w:rsid w:val="0CCA1272"/>
    <w:rsid w:val="0CCC6D98"/>
    <w:rsid w:val="0CCE0D2E"/>
    <w:rsid w:val="0CCE0D62"/>
    <w:rsid w:val="0CCF4ADA"/>
    <w:rsid w:val="0CD143AE"/>
    <w:rsid w:val="0CD45C4C"/>
    <w:rsid w:val="0CD619C5"/>
    <w:rsid w:val="0CD65E68"/>
    <w:rsid w:val="0CDD71F7"/>
    <w:rsid w:val="0CDE6ACB"/>
    <w:rsid w:val="0CDF4D1D"/>
    <w:rsid w:val="0CE06855"/>
    <w:rsid w:val="0CEC11E8"/>
    <w:rsid w:val="0CEC4112"/>
    <w:rsid w:val="0CEC743A"/>
    <w:rsid w:val="0CEE4F60"/>
    <w:rsid w:val="0CF05EE4"/>
    <w:rsid w:val="0CF34325"/>
    <w:rsid w:val="0CF63E15"/>
    <w:rsid w:val="0CF7422C"/>
    <w:rsid w:val="0CF74AB8"/>
    <w:rsid w:val="0CF74F60"/>
    <w:rsid w:val="0CFA1B57"/>
    <w:rsid w:val="0CFB58CF"/>
    <w:rsid w:val="0CFC11DB"/>
    <w:rsid w:val="0CFE06B0"/>
    <w:rsid w:val="0D002EE5"/>
    <w:rsid w:val="0D0522AA"/>
    <w:rsid w:val="0D091D9A"/>
    <w:rsid w:val="0D093B48"/>
    <w:rsid w:val="0D097FEC"/>
    <w:rsid w:val="0D0A78C0"/>
    <w:rsid w:val="0D0C3638"/>
    <w:rsid w:val="0D0C53E6"/>
    <w:rsid w:val="0D0F4ED6"/>
    <w:rsid w:val="0D1129FD"/>
    <w:rsid w:val="0D11412A"/>
    <w:rsid w:val="0D132C19"/>
    <w:rsid w:val="0D166265"/>
    <w:rsid w:val="0D1A3FA7"/>
    <w:rsid w:val="0D1C412E"/>
    <w:rsid w:val="0D1D3A97"/>
    <w:rsid w:val="0D1E7195"/>
    <w:rsid w:val="0D1F511A"/>
    <w:rsid w:val="0D2005D6"/>
    <w:rsid w:val="0D205087"/>
    <w:rsid w:val="0D2546FA"/>
    <w:rsid w:val="0D2E7A52"/>
    <w:rsid w:val="0D314E4D"/>
    <w:rsid w:val="0D3355BC"/>
    <w:rsid w:val="0D350DE1"/>
    <w:rsid w:val="0D366907"/>
    <w:rsid w:val="0D3861DB"/>
    <w:rsid w:val="0D38685D"/>
    <w:rsid w:val="0D3B5CCB"/>
    <w:rsid w:val="0D3D7C96"/>
    <w:rsid w:val="0D444E00"/>
    <w:rsid w:val="0D466B4A"/>
    <w:rsid w:val="0D480F23"/>
    <w:rsid w:val="0D485A84"/>
    <w:rsid w:val="0D4C7ED9"/>
    <w:rsid w:val="0D4E2C3A"/>
    <w:rsid w:val="0D505C1B"/>
    <w:rsid w:val="0D5079C9"/>
    <w:rsid w:val="0D531267"/>
    <w:rsid w:val="0D533465"/>
    <w:rsid w:val="0D5374B9"/>
    <w:rsid w:val="0D550956"/>
    <w:rsid w:val="0D551A27"/>
    <w:rsid w:val="0D554FDF"/>
    <w:rsid w:val="0D5648B3"/>
    <w:rsid w:val="0D570D57"/>
    <w:rsid w:val="0D584ACF"/>
    <w:rsid w:val="0D591295"/>
    <w:rsid w:val="0D5A43A4"/>
    <w:rsid w:val="0D5B011C"/>
    <w:rsid w:val="0D5F7C0C"/>
    <w:rsid w:val="0D603DD4"/>
    <w:rsid w:val="0D611BD6"/>
    <w:rsid w:val="0D613984"/>
    <w:rsid w:val="0D6214AA"/>
    <w:rsid w:val="0D643474"/>
    <w:rsid w:val="0D662D48"/>
    <w:rsid w:val="0D6B035F"/>
    <w:rsid w:val="0D6B4803"/>
    <w:rsid w:val="0D705975"/>
    <w:rsid w:val="0D7116ED"/>
    <w:rsid w:val="0D7169EE"/>
    <w:rsid w:val="0D72438D"/>
    <w:rsid w:val="0D725B91"/>
    <w:rsid w:val="0D727E7E"/>
    <w:rsid w:val="0D75742F"/>
    <w:rsid w:val="0D766D04"/>
    <w:rsid w:val="0D772860"/>
    <w:rsid w:val="0D7A67F4"/>
    <w:rsid w:val="0D7D0092"/>
    <w:rsid w:val="0D7D62E4"/>
    <w:rsid w:val="0D813912"/>
    <w:rsid w:val="0D82761B"/>
    <w:rsid w:val="0D84412F"/>
    <w:rsid w:val="0D8609C6"/>
    <w:rsid w:val="0D86163D"/>
    <w:rsid w:val="0D870C14"/>
    <w:rsid w:val="0D896A37"/>
    <w:rsid w:val="0D8B0A01"/>
    <w:rsid w:val="0D8B27AF"/>
    <w:rsid w:val="0D8E6743"/>
    <w:rsid w:val="0D8F1F77"/>
    <w:rsid w:val="0D906017"/>
    <w:rsid w:val="0D9217FF"/>
    <w:rsid w:val="0D921D8F"/>
    <w:rsid w:val="0D944959"/>
    <w:rsid w:val="0D9543FB"/>
    <w:rsid w:val="0D957AD2"/>
    <w:rsid w:val="0D96694A"/>
    <w:rsid w:val="0D9760BE"/>
    <w:rsid w:val="0D9C2C0E"/>
    <w:rsid w:val="0D9D0734"/>
    <w:rsid w:val="0DA10224"/>
    <w:rsid w:val="0DA43871"/>
    <w:rsid w:val="0DA63A8D"/>
    <w:rsid w:val="0DA6583B"/>
    <w:rsid w:val="0DA77262"/>
    <w:rsid w:val="0DAB10A3"/>
    <w:rsid w:val="0DAE2941"/>
    <w:rsid w:val="0DB00467"/>
    <w:rsid w:val="0DB066B9"/>
    <w:rsid w:val="0DB42B57"/>
    <w:rsid w:val="0DB53CD0"/>
    <w:rsid w:val="0DB55A7E"/>
    <w:rsid w:val="0DB64F07"/>
    <w:rsid w:val="0DB8556E"/>
    <w:rsid w:val="0DBC0BBA"/>
    <w:rsid w:val="0DBD7033"/>
    <w:rsid w:val="0DBF06AB"/>
    <w:rsid w:val="0DC1585D"/>
    <w:rsid w:val="0DC21F49"/>
    <w:rsid w:val="0DC3019B"/>
    <w:rsid w:val="0DC363ED"/>
    <w:rsid w:val="0DC50BB6"/>
    <w:rsid w:val="0DC61A39"/>
    <w:rsid w:val="0DC66358"/>
    <w:rsid w:val="0DC67D96"/>
    <w:rsid w:val="0DC83A03"/>
    <w:rsid w:val="0DCC0A89"/>
    <w:rsid w:val="0DCD1019"/>
    <w:rsid w:val="0DCE3B66"/>
    <w:rsid w:val="0DCF5F7A"/>
    <w:rsid w:val="0DCF60DD"/>
    <w:rsid w:val="0DD24882"/>
    <w:rsid w:val="0DD34156"/>
    <w:rsid w:val="0DD57ECE"/>
    <w:rsid w:val="0DD73C46"/>
    <w:rsid w:val="0DD759F4"/>
    <w:rsid w:val="0DDA308D"/>
    <w:rsid w:val="0DDC125D"/>
    <w:rsid w:val="0DDC300B"/>
    <w:rsid w:val="0DDE4FD5"/>
    <w:rsid w:val="0DDF0D4D"/>
    <w:rsid w:val="0DDF6F9F"/>
    <w:rsid w:val="0DE14AC5"/>
    <w:rsid w:val="0DE34399"/>
    <w:rsid w:val="0DE620DB"/>
    <w:rsid w:val="0DE93979"/>
    <w:rsid w:val="0DE95727"/>
    <w:rsid w:val="0DEC6932"/>
    <w:rsid w:val="0DED4094"/>
    <w:rsid w:val="0DEF71E2"/>
    <w:rsid w:val="0DF02F5A"/>
    <w:rsid w:val="0DF16743"/>
    <w:rsid w:val="0DF20642"/>
    <w:rsid w:val="0DF742E8"/>
    <w:rsid w:val="0DF77E44"/>
    <w:rsid w:val="0DFD78B7"/>
    <w:rsid w:val="0DFE7425"/>
    <w:rsid w:val="0DFF319D"/>
    <w:rsid w:val="0E012A71"/>
    <w:rsid w:val="0E034A3B"/>
    <w:rsid w:val="0E055DB2"/>
    <w:rsid w:val="0E0849CA"/>
    <w:rsid w:val="0E097B78"/>
    <w:rsid w:val="0E0A5A19"/>
    <w:rsid w:val="0E0B1B42"/>
    <w:rsid w:val="0E0F1632"/>
    <w:rsid w:val="0E1053AA"/>
    <w:rsid w:val="0E1409F6"/>
    <w:rsid w:val="0E141D1A"/>
    <w:rsid w:val="0E197DBB"/>
    <w:rsid w:val="0E1C5AFD"/>
    <w:rsid w:val="0E1E1875"/>
    <w:rsid w:val="0E1E25B6"/>
    <w:rsid w:val="0E1F1149"/>
    <w:rsid w:val="0E200D4E"/>
    <w:rsid w:val="0E213113"/>
    <w:rsid w:val="0E2447F1"/>
    <w:rsid w:val="0E272B23"/>
    <w:rsid w:val="0E2826F4"/>
    <w:rsid w:val="0E283F84"/>
    <w:rsid w:val="0E283FB3"/>
    <w:rsid w:val="0E2A021A"/>
    <w:rsid w:val="0E2A646C"/>
    <w:rsid w:val="0E2B5D40"/>
    <w:rsid w:val="0E2F5830"/>
    <w:rsid w:val="0E326354"/>
    <w:rsid w:val="0E3270CE"/>
    <w:rsid w:val="0E39045D"/>
    <w:rsid w:val="0E43752E"/>
    <w:rsid w:val="0E440BB0"/>
    <w:rsid w:val="0E456E02"/>
    <w:rsid w:val="0E464928"/>
    <w:rsid w:val="0E4A4418"/>
    <w:rsid w:val="0E4B0190"/>
    <w:rsid w:val="0E4B63E2"/>
    <w:rsid w:val="0E4B669F"/>
    <w:rsid w:val="0E4D215A"/>
    <w:rsid w:val="0E5232CD"/>
    <w:rsid w:val="0E527771"/>
    <w:rsid w:val="0E574D87"/>
    <w:rsid w:val="0E59465B"/>
    <w:rsid w:val="0E5C05EF"/>
    <w:rsid w:val="0E5C414B"/>
    <w:rsid w:val="0E5E1C72"/>
    <w:rsid w:val="0E5E4367"/>
    <w:rsid w:val="0E601E8E"/>
    <w:rsid w:val="0E625C06"/>
    <w:rsid w:val="0E63197E"/>
    <w:rsid w:val="0E651252"/>
    <w:rsid w:val="0E6574A4"/>
    <w:rsid w:val="0E666B26"/>
    <w:rsid w:val="0E67321C"/>
    <w:rsid w:val="0E6A6868"/>
    <w:rsid w:val="0E6C4915"/>
    <w:rsid w:val="0E6D0107"/>
    <w:rsid w:val="0E6F20D1"/>
    <w:rsid w:val="0E707BD8"/>
    <w:rsid w:val="0E707BF7"/>
    <w:rsid w:val="0E715E49"/>
    <w:rsid w:val="0E757408"/>
    <w:rsid w:val="0E76345F"/>
    <w:rsid w:val="0E76520D"/>
    <w:rsid w:val="0E775442"/>
    <w:rsid w:val="0E7B78BC"/>
    <w:rsid w:val="0E7E0566"/>
    <w:rsid w:val="0E807E3A"/>
    <w:rsid w:val="0E824BBE"/>
    <w:rsid w:val="0E83347D"/>
    <w:rsid w:val="0E855450"/>
    <w:rsid w:val="0E875E54"/>
    <w:rsid w:val="0E8A515C"/>
    <w:rsid w:val="0E8B67DF"/>
    <w:rsid w:val="0E8C4A31"/>
    <w:rsid w:val="0E8D2557"/>
    <w:rsid w:val="0E8F2773"/>
    <w:rsid w:val="0E903DF5"/>
    <w:rsid w:val="0E927B6D"/>
    <w:rsid w:val="0E941B37"/>
    <w:rsid w:val="0E947D89"/>
    <w:rsid w:val="0E987D02"/>
    <w:rsid w:val="0E9953A0"/>
    <w:rsid w:val="0E9B3F9E"/>
    <w:rsid w:val="0E9D6BF5"/>
    <w:rsid w:val="0EA0228A"/>
    <w:rsid w:val="0EA0672E"/>
    <w:rsid w:val="0EA16002"/>
    <w:rsid w:val="0EA33B28"/>
    <w:rsid w:val="0EA578A0"/>
    <w:rsid w:val="0EA7248B"/>
    <w:rsid w:val="0EA836ED"/>
    <w:rsid w:val="0EA87391"/>
    <w:rsid w:val="0EAC6E81"/>
    <w:rsid w:val="0EAD6DCB"/>
    <w:rsid w:val="0EAF4BC3"/>
    <w:rsid w:val="0EB07C3C"/>
    <w:rsid w:val="0EB2020F"/>
    <w:rsid w:val="0EB45D35"/>
    <w:rsid w:val="0EB83A78"/>
    <w:rsid w:val="0EB9334C"/>
    <w:rsid w:val="0EB9785E"/>
    <w:rsid w:val="0EBB5316"/>
    <w:rsid w:val="0EBD108E"/>
    <w:rsid w:val="0EBD2E3C"/>
    <w:rsid w:val="0EC046DA"/>
    <w:rsid w:val="0EC20452"/>
    <w:rsid w:val="0EC248F6"/>
    <w:rsid w:val="0EC56195"/>
    <w:rsid w:val="0EC6754C"/>
    <w:rsid w:val="0EC732F2"/>
    <w:rsid w:val="0EC75A69"/>
    <w:rsid w:val="0EC87A33"/>
    <w:rsid w:val="0ECC1F2C"/>
    <w:rsid w:val="0ECC307F"/>
    <w:rsid w:val="0ECD7164"/>
    <w:rsid w:val="0ECE329B"/>
    <w:rsid w:val="0ED00D7B"/>
    <w:rsid w:val="0ED04A7F"/>
    <w:rsid w:val="0ED14B39"/>
    <w:rsid w:val="0ED40186"/>
    <w:rsid w:val="0ED4462A"/>
    <w:rsid w:val="0ED604E9"/>
    <w:rsid w:val="0ED62150"/>
    <w:rsid w:val="0ED674F6"/>
    <w:rsid w:val="0ED70339"/>
    <w:rsid w:val="0ED85EC8"/>
    <w:rsid w:val="0EDB1514"/>
    <w:rsid w:val="0EDC43A3"/>
    <w:rsid w:val="0EDC4B80"/>
    <w:rsid w:val="0EDC71A3"/>
    <w:rsid w:val="0EDF64BB"/>
    <w:rsid w:val="0EE228A3"/>
    <w:rsid w:val="0EE25329"/>
    <w:rsid w:val="0EE71797"/>
    <w:rsid w:val="0EE859DF"/>
    <w:rsid w:val="0EED1247"/>
    <w:rsid w:val="0EF1655F"/>
    <w:rsid w:val="0EF3685E"/>
    <w:rsid w:val="0EF54ED7"/>
    <w:rsid w:val="0EF808FE"/>
    <w:rsid w:val="0EFA4090"/>
    <w:rsid w:val="0EFF7422"/>
    <w:rsid w:val="0F0071CD"/>
    <w:rsid w:val="0F0152B2"/>
    <w:rsid w:val="0F015689"/>
    <w:rsid w:val="0F022F45"/>
    <w:rsid w:val="0F024CF3"/>
    <w:rsid w:val="0F026AA1"/>
    <w:rsid w:val="0F056591"/>
    <w:rsid w:val="0F072309"/>
    <w:rsid w:val="0F075BB4"/>
    <w:rsid w:val="0F0942D3"/>
    <w:rsid w:val="0F096081"/>
    <w:rsid w:val="0F0A004B"/>
    <w:rsid w:val="0F0C5B71"/>
    <w:rsid w:val="0F0C791F"/>
    <w:rsid w:val="0F0E7940"/>
    <w:rsid w:val="0F0E7B3C"/>
    <w:rsid w:val="0F0F1F61"/>
    <w:rsid w:val="0F0F7410"/>
    <w:rsid w:val="0F11271D"/>
    <w:rsid w:val="0F113188"/>
    <w:rsid w:val="0F123399"/>
    <w:rsid w:val="0F125876"/>
    <w:rsid w:val="0F130CAE"/>
    <w:rsid w:val="0F1345A3"/>
    <w:rsid w:val="0F1418F9"/>
    <w:rsid w:val="0F1669F0"/>
    <w:rsid w:val="0F184516"/>
    <w:rsid w:val="0F1A028E"/>
    <w:rsid w:val="0F1B4006"/>
    <w:rsid w:val="0F1B7B63"/>
    <w:rsid w:val="0F1D7D7F"/>
    <w:rsid w:val="0F1E7653"/>
    <w:rsid w:val="0F1F58A5"/>
    <w:rsid w:val="0F220EF1"/>
    <w:rsid w:val="0F242EBB"/>
    <w:rsid w:val="0F283D96"/>
    <w:rsid w:val="0F297F23"/>
    <w:rsid w:val="0F2C6214"/>
    <w:rsid w:val="0F2C69E9"/>
    <w:rsid w:val="0F2D2774"/>
    <w:rsid w:val="0F2E5AE8"/>
    <w:rsid w:val="0F307991"/>
    <w:rsid w:val="0F307AB2"/>
    <w:rsid w:val="0F31382A"/>
    <w:rsid w:val="0F3341F4"/>
    <w:rsid w:val="0F3375A2"/>
    <w:rsid w:val="0F346E76"/>
    <w:rsid w:val="0F350C32"/>
    <w:rsid w:val="0F390A43"/>
    <w:rsid w:val="0F3A26DF"/>
    <w:rsid w:val="0F3A448D"/>
    <w:rsid w:val="0F3B0205"/>
    <w:rsid w:val="0F3B4AA4"/>
    <w:rsid w:val="0F3D21CF"/>
    <w:rsid w:val="0F3D3F7D"/>
    <w:rsid w:val="0F3D5D2B"/>
    <w:rsid w:val="0F421593"/>
    <w:rsid w:val="0F44530B"/>
    <w:rsid w:val="0F476BAA"/>
    <w:rsid w:val="0F484622"/>
    <w:rsid w:val="0F492922"/>
    <w:rsid w:val="0F4B669A"/>
    <w:rsid w:val="0F4D6EB9"/>
    <w:rsid w:val="0F4E1CE6"/>
    <w:rsid w:val="0F4E2F1A"/>
    <w:rsid w:val="0F4F43AA"/>
    <w:rsid w:val="0F50049E"/>
    <w:rsid w:val="0F5117D6"/>
    <w:rsid w:val="0F52189B"/>
    <w:rsid w:val="0F5512C6"/>
    <w:rsid w:val="0F556ADB"/>
    <w:rsid w:val="0F572B3C"/>
    <w:rsid w:val="0F5A4B2F"/>
    <w:rsid w:val="0F5A60C1"/>
    <w:rsid w:val="0F5C08A7"/>
    <w:rsid w:val="0F5D0323"/>
    <w:rsid w:val="0F5F2145"/>
    <w:rsid w:val="0F5F3EF3"/>
    <w:rsid w:val="0F622820"/>
    <w:rsid w:val="0F6428CD"/>
    <w:rsid w:val="0F64775C"/>
    <w:rsid w:val="0F656151"/>
    <w:rsid w:val="0F657030"/>
    <w:rsid w:val="0F661DB2"/>
    <w:rsid w:val="0F6634D4"/>
    <w:rsid w:val="0F67724C"/>
    <w:rsid w:val="0F692FC4"/>
    <w:rsid w:val="0F6A6E55"/>
    <w:rsid w:val="0F6E05DA"/>
    <w:rsid w:val="0F70347B"/>
    <w:rsid w:val="0F711E78"/>
    <w:rsid w:val="0F73174D"/>
    <w:rsid w:val="0F753717"/>
    <w:rsid w:val="0F76123D"/>
    <w:rsid w:val="0F78188D"/>
    <w:rsid w:val="0F7B4AA5"/>
    <w:rsid w:val="0F7C2CF7"/>
    <w:rsid w:val="0F7C3C77"/>
    <w:rsid w:val="0F7F6343"/>
    <w:rsid w:val="0F825E34"/>
    <w:rsid w:val="0F84395A"/>
    <w:rsid w:val="0F890F70"/>
    <w:rsid w:val="0F8971C2"/>
    <w:rsid w:val="0F8B2F3A"/>
    <w:rsid w:val="0F8B4CE8"/>
    <w:rsid w:val="0F8E47D8"/>
    <w:rsid w:val="0F8E6586"/>
    <w:rsid w:val="0F8F137D"/>
    <w:rsid w:val="0F9022FF"/>
    <w:rsid w:val="0F916077"/>
    <w:rsid w:val="0F953F6E"/>
    <w:rsid w:val="0F96368D"/>
    <w:rsid w:val="0F985657"/>
    <w:rsid w:val="0F9B0CA3"/>
    <w:rsid w:val="0FA20284"/>
    <w:rsid w:val="0FA250E1"/>
    <w:rsid w:val="0FA43FFC"/>
    <w:rsid w:val="0FA579EC"/>
    <w:rsid w:val="0FA61B22"/>
    <w:rsid w:val="0FA638D0"/>
    <w:rsid w:val="0FA67D74"/>
    <w:rsid w:val="0FAC4C5F"/>
    <w:rsid w:val="0FB029A1"/>
    <w:rsid w:val="0FB26719"/>
    <w:rsid w:val="0FB51D65"/>
    <w:rsid w:val="0FB6788B"/>
    <w:rsid w:val="0FBA737B"/>
    <w:rsid w:val="0FBC1346"/>
    <w:rsid w:val="0FBC27D4"/>
    <w:rsid w:val="0FBF4992"/>
    <w:rsid w:val="0FBF6D8B"/>
    <w:rsid w:val="0FC1070A"/>
    <w:rsid w:val="0FC24482"/>
    <w:rsid w:val="0FC30926"/>
    <w:rsid w:val="0FC323FE"/>
    <w:rsid w:val="0FC63F72"/>
    <w:rsid w:val="0FC85F3C"/>
    <w:rsid w:val="0FC92877"/>
    <w:rsid w:val="0FC95811"/>
    <w:rsid w:val="0FCB77DB"/>
    <w:rsid w:val="0FCD5301"/>
    <w:rsid w:val="0FD03043"/>
    <w:rsid w:val="0FD20B69"/>
    <w:rsid w:val="0FD50659"/>
    <w:rsid w:val="0FD52407"/>
    <w:rsid w:val="0FD814C2"/>
    <w:rsid w:val="0FD83CA6"/>
    <w:rsid w:val="0FDA030E"/>
    <w:rsid w:val="0FDA5C70"/>
    <w:rsid w:val="0FDC19E8"/>
    <w:rsid w:val="0FDC5544"/>
    <w:rsid w:val="0FDE750E"/>
    <w:rsid w:val="0FE5719E"/>
    <w:rsid w:val="0FE663C2"/>
    <w:rsid w:val="0FE73EE9"/>
    <w:rsid w:val="0FE8213B"/>
    <w:rsid w:val="0FE91A0F"/>
    <w:rsid w:val="0FEB540B"/>
    <w:rsid w:val="0FED59A3"/>
    <w:rsid w:val="0FF00FEF"/>
    <w:rsid w:val="0FF24D67"/>
    <w:rsid w:val="0FF3288D"/>
    <w:rsid w:val="0FF4755A"/>
    <w:rsid w:val="0FF52AA9"/>
    <w:rsid w:val="0FF54858"/>
    <w:rsid w:val="0FFB6AD0"/>
    <w:rsid w:val="0FFC1742"/>
    <w:rsid w:val="0FFE31DD"/>
    <w:rsid w:val="0FFF7484"/>
    <w:rsid w:val="10011211"/>
    <w:rsid w:val="1001144E"/>
    <w:rsid w:val="100131FC"/>
    <w:rsid w:val="100625C1"/>
    <w:rsid w:val="10066A65"/>
    <w:rsid w:val="10090303"/>
    <w:rsid w:val="10094969"/>
    <w:rsid w:val="100A0500"/>
    <w:rsid w:val="100D0318"/>
    <w:rsid w:val="100D7DF3"/>
    <w:rsid w:val="10107F1A"/>
    <w:rsid w:val="10132AE3"/>
    <w:rsid w:val="10134CDE"/>
    <w:rsid w:val="10143353"/>
    <w:rsid w:val="10152804"/>
    <w:rsid w:val="10156CA8"/>
    <w:rsid w:val="101738D4"/>
    <w:rsid w:val="10174381"/>
    <w:rsid w:val="10196798"/>
    <w:rsid w:val="101A2510"/>
    <w:rsid w:val="101A42BE"/>
    <w:rsid w:val="101E1351"/>
    <w:rsid w:val="1021564D"/>
    <w:rsid w:val="10233173"/>
    <w:rsid w:val="10234FF5"/>
    <w:rsid w:val="1025513D"/>
    <w:rsid w:val="10260EB5"/>
    <w:rsid w:val="10262C63"/>
    <w:rsid w:val="1027514F"/>
    <w:rsid w:val="102869DB"/>
    <w:rsid w:val="102962AF"/>
    <w:rsid w:val="102A2753"/>
    <w:rsid w:val="102B64CB"/>
    <w:rsid w:val="102E5FAA"/>
    <w:rsid w:val="10314AE4"/>
    <w:rsid w:val="103233B6"/>
    <w:rsid w:val="1032785A"/>
    <w:rsid w:val="1033098C"/>
    <w:rsid w:val="10343EAB"/>
    <w:rsid w:val="10345380"/>
    <w:rsid w:val="1034712E"/>
    <w:rsid w:val="1035465E"/>
    <w:rsid w:val="10367D49"/>
    <w:rsid w:val="10374E70"/>
    <w:rsid w:val="10377987"/>
    <w:rsid w:val="103C2486"/>
    <w:rsid w:val="103C5FE2"/>
    <w:rsid w:val="103F5AD3"/>
    <w:rsid w:val="10433815"/>
    <w:rsid w:val="104355C3"/>
    <w:rsid w:val="10442F69"/>
    <w:rsid w:val="1045133B"/>
    <w:rsid w:val="10463305"/>
    <w:rsid w:val="104650B3"/>
    <w:rsid w:val="10466E02"/>
    <w:rsid w:val="104B540B"/>
    <w:rsid w:val="104B74BE"/>
    <w:rsid w:val="104C2C74"/>
    <w:rsid w:val="104D01F0"/>
    <w:rsid w:val="104F21BA"/>
    <w:rsid w:val="10501A8E"/>
    <w:rsid w:val="10507CE0"/>
    <w:rsid w:val="10521CAA"/>
    <w:rsid w:val="10525806"/>
    <w:rsid w:val="105477D0"/>
    <w:rsid w:val="10575305"/>
    <w:rsid w:val="10594DE6"/>
    <w:rsid w:val="105C0433"/>
    <w:rsid w:val="105E41AB"/>
    <w:rsid w:val="106043C7"/>
    <w:rsid w:val="10611EED"/>
    <w:rsid w:val="10650D36"/>
    <w:rsid w:val="10686DD7"/>
    <w:rsid w:val="106A0DA2"/>
    <w:rsid w:val="106B4B1A"/>
    <w:rsid w:val="106D43EE"/>
    <w:rsid w:val="106E1CFB"/>
    <w:rsid w:val="106E3E49"/>
    <w:rsid w:val="106F0166"/>
    <w:rsid w:val="10702130"/>
    <w:rsid w:val="10716AD4"/>
    <w:rsid w:val="107240FA"/>
    <w:rsid w:val="10725EA8"/>
    <w:rsid w:val="107439CE"/>
    <w:rsid w:val="1074577C"/>
    <w:rsid w:val="10771491"/>
    <w:rsid w:val="10790550"/>
    <w:rsid w:val="10795489"/>
    <w:rsid w:val="10797237"/>
    <w:rsid w:val="107A6B0B"/>
    <w:rsid w:val="107C0AD5"/>
    <w:rsid w:val="107E484D"/>
    <w:rsid w:val="107E65FB"/>
    <w:rsid w:val="1081433D"/>
    <w:rsid w:val="10850D97"/>
    <w:rsid w:val="10861954"/>
    <w:rsid w:val="10881228"/>
    <w:rsid w:val="108B0D18"/>
    <w:rsid w:val="108C6F6A"/>
    <w:rsid w:val="108D4A90"/>
    <w:rsid w:val="108F0808"/>
    <w:rsid w:val="1090632E"/>
    <w:rsid w:val="109401F4"/>
    <w:rsid w:val="10944070"/>
    <w:rsid w:val="10973AD9"/>
    <w:rsid w:val="109776BD"/>
    <w:rsid w:val="10991687"/>
    <w:rsid w:val="10993435"/>
    <w:rsid w:val="109C4CD3"/>
    <w:rsid w:val="109E0A4B"/>
    <w:rsid w:val="10A32505"/>
    <w:rsid w:val="10A342B4"/>
    <w:rsid w:val="10A5002C"/>
    <w:rsid w:val="10A73DA4"/>
    <w:rsid w:val="10A818CA"/>
    <w:rsid w:val="10AA3894"/>
    <w:rsid w:val="10AA7D4E"/>
    <w:rsid w:val="10AB4F16"/>
    <w:rsid w:val="10AC13BA"/>
    <w:rsid w:val="10B1077E"/>
    <w:rsid w:val="10B169D0"/>
    <w:rsid w:val="10B206E1"/>
    <w:rsid w:val="10B464C1"/>
    <w:rsid w:val="10B556B8"/>
    <w:rsid w:val="10B71B0D"/>
    <w:rsid w:val="10B77D5F"/>
    <w:rsid w:val="10BC578F"/>
    <w:rsid w:val="10BC7123"/>
    <w:rsid w:val="10BE10ED"/>
    <w:rsid w:val="10C04E65"/>
    <w:rsid w:val="10C2298C"/>
    <w:rsid w:val="10C27E33"/>
    <w:rsid w:val="10C34956"/>
    <w:rsid w:val="10C5422A"/>
    <w:rsid w:val="10C64D91"/>
    <w:rsid w:val="10C81F6C"/>
    <w:rsid w:val="10CA1840"/>
    <w:rsid w:val="10CA7A92"/>
    <w:rsid w:val="10CC699D"/>
    <w:rsid w:val="10CD1330"/>
    <w:rsid w:val="10CD6A2A"/>
    <w:rsid w:val="10CF32FA"/>
    <w:rsid w:val="10CF6E57"/>
    <w:rsid w:val="10D206F5"/>
    <w:rsid w:val="10D3115B"/>
    <w:rsid w:val="10D34B99"/>
    <w:rsid w:val="10D426BF"/>
    <w:rsid w:val="10D51608"/>
    <w:rsid w:val="10D517BE"/>
    <w:rsid w:val="10D64689"/>
    <w:rsid w:val="10D80200"/>
    <w:rsid w:val="10DB57FB"/>
    <w:rsid w:val="10E01064"/>
    <w:rsid w:val="10E30B54"/>
    <w:rsid w:val="10E467CA"/>
    <w:rsid w:val="10E53570"/>
    <w:rsid w:val="10E723F2"/>
    <w:rsid w:val="10EA0134"/>
    <w:rsid w:val="10EA3C90"/>
    <w:rsid w:val="10EF574B"/>
    <w:rsid w:val="10EF74F9"/>
    <w:rsid w:val="10F13271"/>
    <w:rsid w:val="10F25464"/>
    <w:rsid w:val="10F42D61"/>
    <w:rsid w:val="10F46BA2"/>
    <w:rsid w:val="10F845FF"/>
    <w:rsid w:val="10F863AD"/>
    <w:rsid w:val="10F92125"/>
    <w:rsid w:val="10FB40F0"/>
    <w:rsid w:val="10FB7C4C"/>
    <w:rsid w:val="10FE629D"/>
    <w:rsid w:val="11020FDA"/>
    <w:rsid w:val="1102722C"/>
    <w:rsid w:val="11032FA4"/>
    <w:rsid w:val="110424CC"/>
    <w:rsid w:val="11063FEA"/>
    <w:rsid w:val="11072A94"/>
    <w:rsid w:val="11083981"/>
    <w:rsid w:val="110A60E1"/>
    <w:rsid w:val="110E3E08"/>
    <w:rsid w:val="110E5BD1"/>
    <w:rsid w:val="110F67DD"/>
    <w:rsid w:val="11140D0D"/>
    <w:rsid w:val="11146F5F"/>
    <w:rsid w:val="11160F29"/>
    <w:rsid w:val="111807FE"/>
    <w:rsid w:val="11186A50"/>
    <w:rsid w:val="111A46D0"/>
    <w:rsid w:val="111B6540"/>
    <w:rsid w:val="111E1B8C"/>
    <w:rsid w:val="111E393A"/>
    <w:rsid w:val="11200159"/>
    <w:rsid w:val="11203B56"/>
    <w:rsid w:val="11207761"/>
    <w:rsid w:val="1122167C"/>
    <w:rsid w:val="112A0531"/>
    <w:rsid w:val="112A22DF"/>
    <w:rsid w:val="112C42A9"/>
    <w:rsid w:val="112C7CBB"/>
    <w:rsid w:val="112E1DCF"/>
    <w:rsid w:val="112F78F5"/>
    <w:rsid w:val="11357601"/>
    <w:rsid w:val="11366ED6"/>
    <w:rsid w:val="11380EA0"/>
    <w:rsid w:val="113849FC"/>
    <w:rsid w:val="11390774"/>
    <w:rsid w:val="113969C6"/>
    <w:rsid w:val="113A4C18"/>
    <w:rsid w:val="11401B02"/>
    <w:rsid w:val="11405FA6"/>
    <w:rsid w:val="11407D54"/>
    <w:rsid w:val="1143294E"/>
    <w:rsid w:val="114338F3"/>
    <w:rsid w:val="11456F43"/>
    <w:rsid w:val="11470ED2"/>
    <w:rsid w:val="11472E91"/>
    <w:rsid w:val="114775E0"/>
    <w:rsid w:val="114809B7"/>
    <w:rsid w:val="11494E5B"/>
    <w:rsid w:val="11496C09"/>
    <w:rsid w:val="114A0BD3"/>
    <w:rsid w:val="114A128D"/>
    <w:rsid w:val="114C2A92"/>
    <w:rsid w:val="114E421F"/>
    <w:rsid w:val="114F6D97"/>
    <w:rsid w:val="11535CDA"/>
    <w:rsid w:val="1154735C"/>
    <w:rsid w:val="11561326"/>
    <w:rsid w:val="115832F0"/>
    <w:rsid w:val="11592BC4"/>
    <w:rsid w:val="1159757E"/>
    <w:rsid w:val="115A177E"/>
    <w:rsid w:val="115E01DA"/>
    <w:rsid w:val="115F3CA4"/>
    <w:rsid w:val="116021A5"/>
    <w:rsid w:val="116457F1"/>
    <w:rsid w:val="116522F5"/>
    <w:rsid w:val="1168681B"/>
    <w:rsid w:val="116972AB"/>
    <w:rsid w:val="116973E7"/>
    <w:rsid w:val="116A4DD1"/>
    <w:rsid w:val="116B3023"/>
    <w:rsid w:val="116C0B49"/>
    <w:rsid w:val="116E48C1"/>
    <w:rsid w:val="116F1134"/>
    <w:rsid w:val="116F4196"/>
    <w:rsid w:val="1170063A"/>
    <w:rsid w:val="11716160"/>
    <w:rsid w:val="11717F0E"/>
    <w:rsid w:val="11731ED8"/>
    <w:rsid w:val="117423E6"/>
    <w:rsid w:val="11763776"/>
    <w:rsid w:val="117702AA"/>
    <w:rsid w:val="117F6ACF"/>
    <w:rsid w:val="118045F5"/>
    <w:rsid w:val="11812847"/>
    <w:rsid w:val="118253BD"/>
    <w:rsid w:val="11826AFE"/>
    <w:rsid w:val="118440E5"/>
    <w:rsid w:val="118714DF"/>
    <w:rsid w:val="11872970"/>
    <w:rsid w:val="11874169"/>
    <w:rsid w:val="118934A9"/>
    <w:rsid w:val="118B7221"/>
    <w:rsid w:val="118C11EC"/>
    <w:rsid w:val="118C2F9A"/>
    <w:rsid w:val="118C4D48"/>
    <w:rsid w:val="118F65E6"/>
    <w:rsid w:val="11904838"/>
    <w:rsid w:val="119105B0"/>
    <w:rsid w:val="11934328"/>
    <w:rsid w:val="11943BFC"/>
    <w:rsid w:val="11951E4E"/>
    <w:rsid w:val="11963E18"/>
    <w:rsid w:val="119838F5"/>
    <w:rsid w:val="119C142F"/>
    <w:rsid w:val="119C2276"/>
    <w:rsid w:val="119D51A7"/>
    <w:rsid w:val="119D6F55"/>
    <w:rsid w:val="11A26319"/>
    <w:rsid w:val="11A4434D"/>
    <w:rsid w:val="11A5516D"/>
    <w:rsid w:val="11A7392F"/>
    <w:rsid w:val="11A77389"/>
    <w:rsid w:val="11A93B4C"/>
    <w:rsid w:val="11AB1672"/>
    <w:rsid w:val="11AC31FB"/>
    <w:rsid w:val="11AE1162"/>
    <w:rsid w:val="11AF6FAB"/>
    <w:rsid w:val="11B03C20"/>
    <w:rsid w:val="11B048C6"/>
    <w:rsid w:val="11B04EDA"/>
    <w:rsid w:val="11B12A00"/>
    <w:rsid w:val="11B30526"/>
    <w:rsid w:val="11B36778"/>
    <w:rsid w:val="11B40719"/>
    <w:rsid w:val="11B6439C"/>
    <w:rsid w:val="11B76268"/>
    <w:rsid w:val="11B81FE1"/>
    <w:rsid w:val="11BA40BE"/>
    <w:rsid w:val="11BC387F"/>
    <w:rsid w:val="11BD13A5"/>
    <w:rsid w:val="11BF336F"/>
    <w:rsid w:val="11BF511D"/>
    <w:rsid w:val="11BF6ECB"/>
    <w:rsid w:val="11C049F1"/>
    <w:rsid w:val="11C20769"/>
    <w:rsid w:val="11C5374F"/>
    <w:rsid w:val="11C6025A"/>
    <w:rsid w:val="11C63DA2"/>
    <w:rsid w:val="11C664AC"/>
    <w:rsid w:val="11C73FD2"/>
    <w:rsid w:val="11C91AF8"/>
    <w:rsid w:val="11C95F9C"/>
    <w:rsid w:val="11CA637E"/>
    <w:rsid w:val="11CD0504"/>
    <w:rsid w:val="11CD10A4"/>
    <w:rsid w:val="11CE56DE"/>
    <w:rsid w:val="11CE710E"/>
    <w:rsid w:val="11D010D8"/>
    <w:rsid w:val="11D24E50"/>
    <w:rsid w:val="11D363A6"/>
    <w:rsid w:val="11D5049D"/>
    <w:rsid w:val="11D64215"/>
    <w:rsid w:val="11D6529E"/>
    <w:rsid w:val="11D706B9"/>
    <w:rsid w:val="11D72467"/>
    <w:rsid w:val="11DC20E9"/>
    <w:rsid w:val="11DC7A7D"/>
    <w:rsid w:val="11DD37F5"/>
    <w:rsid w:val="11DD55A3"/>
    <w:rsid w:val="11E22BBA"/>
    <w:rsid w:val="11E24A0B"/>
    <w:rsid w:val="11E903EC"/>
    <w:rsid w:val="11EB4164"/>
    <w:rsid w:val="11EC57E6"/>
    <w:rsid w:val="11ED1C8A"/>
    <w:rsid w:val="11EE77B0"/>
    <w:rsid w:val="11F0177A"/>
    <w:rsid w:val="11F052D6"/>
    <w:rsid w:val="11F1099F"/>
    <w:rsid w:val="11F34DC7"/>
    <w:rsid w:val="11F70527"/>
    <w:rsid w:val="11F748B7"/>
    <w:rsid w:val="11F823DD"/>
    <w:rsid w:val="11FA43A7"/>
    <w:rsid w:val="11FE3E97"/>
    <w:rsid w:val="11FF19BD"/>
    <w:rsid w:val="11FF376C"/>
    <w:rsid w:val="11FF551A"/>
    <w:rsid w:val="11FF7BE6"/>
    <w:rsid w:val="12031173"/>
    <w:rsid w:val="12042B30"/>
    <w:rsid w:val="12045226"/>
    <w:rsid w:val="12046FD4"/>
    <w:rsid w:val="12064AFA"/>
    <w:rsid w:val="12066789"/>
    <w:rsid w:val="12072620"/>
    <w:rsid w:val="12080872"/>
    <w:rsid w:val="12086AC4"/>
    <w:rsid w:val="120B24D6"/>
    <w:rsid w:val="120C7C36"/>
    <w:rsid w:val="120D4DF6"/>
    <w:rsid w:val="120E39AF"/>
    <w:rsid w:val="1212349F"/>
    <w:rsid w:val="121511E1"/>
    <w:rsid w:val="12152F8F"/>
    <w:rsid w:val="12192A7F"/>
    <w:rsid w:val="121C2E46"/>
    <w:rsid w:val="121E62E8"/>
    <w:rsid w:val="12211934"/>
    <w:rsid w:val="122136E2"/>
    <w:rsid w:val="12246778"/>
    <w:rsid w:val="1227056E"/>
    <w:rsid w:val="12282CC2"/>
    <w:rsid w:val="122A6EEF"/>
    <w:rsid w:val="122B27B2"/>
    <w:rsid w:val="122C22A8"/>
    <w:rsid w:val="122D46DF"/>
    <w:rsid w:val="122E5DFF"/>
    <w:rsid w:val="123258EF"/>
    <w:rsid w:val="123300B6"/>
    <w:rsid w:val="12330252"/>
    <w:rsid w:val="12353631"/>
    <w:rsid w:val="123D0D6C"/>
    <w:rsid w:val="123F13C6"/>
    <w:rsid w:val="123F1DBA"/>
    <w:rsid w:val="123F67F5"/>
    <w:rsid w:val="12413A23"/>
    <w:rsid w:val="12413D84"/>
    <w:rsid w:val="12415B32"/>
    <w:rsid w:val="124318AA"/>
    <w:rsid w:val="12443874"/>
    <w:rsid w:val="12483364"/>
    <w:rsid w:val="124949E7"/>
    <w:rsid w:val="124A70DD"/>
    <w:rsid w:val="124B7969"/>
    <w:rsid w:val="124D097B"/>
    <w:rsid w:val="124D2729"/>
    <w:rsid w:val="124D44D7"/>
    <w:rsid w:val="124E024F"/>
    <w:rsid w:val="124F64A1"/>
    <w:rsid w:val="12502219"/>
    <w:rsid w:val="12503FC7"/>
    <w:rsid w:val="12527D3F"/>
    <w:rsid w:val="1256357C"/>
    <w:rsid w:val="12564A7C"/>
    <w:rsid w:val="125910CE"/>
    <w:rsid w:val="12597320"/>
    <w:rsid w:val="125C0BBE"/>
    <w:rsid w:val="125E4936"/>
    <w:rsid w:val="126161D4"/>
    <w:rsid w:val="12635AA8"/>
    <w:rsid w:val="12677C09"/>
    <w:rsid w:val="126A5698"/>
    <w:rsid w:val="126B2BAF"/>
    <w:rsid w:val="126D2DCB"/>
    <w:rsid w:val="12704669"/>
    <w:rsid w:val="12745F08"/>
    <w:rsid w:val="12751C80"/>
    <w:rsid w:val="127557DC"/>
    <w:rsid w:val="12786986"/>
    <w:rsid w:val="1279351E"/>
    <w:rsid w:val="12797E16"/>
    <w:rsid w:val="127C300E"/>
    <w:rsid w:val="127C3C10"/>
    <w:rsid w:val="127D7762"/>
    <w:rsid w:val="127E53C9"/>
    <w:rsid w:val="127E6D86"/>
    <w:rsid w:val="127F48AC"/>
    <w:rsid w:val="127F665A"/>
    <w:rsid w:val="128123D2"/>
    <w:rsid w:val="128165A8"/>
    <w:rsid w:val="1283614B"/>
    <w:rsid w:val="12850115"/>
    <w:rsid w:val="12863E8D"/>
    <w:rsid w:val="12877170"/>
    <w:rsid w:val="128819B3"/>
    <w:rsid w:val="1289075F"/>
    <w:rsid w:val="128B3251"/>
    <w:rsid w:val="128C628C"/>
    <w:rsid w:val="128D0D77"/>
    <w:rsid w:val="128F377D"/>
    <w:rsid w:val="12900868"/>
    <w:rsid w:val="12905F07"/>
    <w:rsid w:val="12906AB9"/>
    <w:rsid w:val="12910C6D"/>
    <w:rsid w:val="129245E0"/>
    <w:rsid w:val="12961F0E"/>
    <w:rsid w:val="129640D0"/>
    <w:rsid w:val="129739A4"/>
    <w:rsid w:val="1299771C"/>
    <w:rsid w:val="129C720C"/>
    <w:rsid w:val="129F0AAB"/>
    <w:rsid w:val="129F0C93"/>
    <w:rsid w:val="12A06CFD"/>
    <w:rsid w:val="12A22F6F"/>
    <w:rsid w:val="12A762DD"/>
    <w:rsid w:val="12A8795F"/>
    <w:rsid w:val="12AD1419"/>
    <w:rsid w:val="12B24C82"/>
    <w:rsid w:val="12B37438"/>
    <w:rsid w:val="12B44556"/>
    <w:rsid w:val="12B5207C"/>
    <w:rsid w:val="12B72298"/>
    <w:rsid w:val="12B74046"/>
    <w:rsid w:val="12B75DF4"/>
    <w:rsid w:val="12BC165D"/>
    <w:rsid w:val="12C0114D"/>
    <w:rsid w:val="12C02EFB"/>
    <w:rsid w:val="12C0739F"/>
    <w:rsid w:val="12C10A21"/>
    <w:rsid w:val="12C3643D"/>
    <w:rsid w:val="12C549B5"/>
    <w:rsid w:val="12C5641C"/>
    <w:rsid w:val="12C86253"/>
    <w:rsid w:val="12CA3D79"/>
    <w:rsid w:val="12CA5B28"/>
    <w:rsid w:val="12CC7AF2"/>
    <w:rsid w:val="12CD386A"/>
    <w:rsid w:val="12CD73C6"/>
    <w:rsid w:val="12CF1390"/>
    <w:rsid w:val="12D06EB6"/>
    <w:rsid w:val="12D15108"/>
    <w:rsid w:val="12D270D2"/>
    <w:rsid w:val="12D50968"/>
    <w:rsid w:val="12D6271E"/>
    <w:rsid w:val="12D746E8"/>
    <w:rsid w:val="12DB7D35"/>
    <w:rsid w:val="12DD1CFF"/>
    <w:rsid w:val="12DE7825"/>
    <w:rsid w:val="12E017EF"/>
    <w:rsid w:val="12E12E71"/>
    <w:rsid w:val="12E23CE3"/>
    <w:rsid w:val="12E25944"/>
    <w:rsid w:val="12E3308D"/>
    <w:rsid w:val="12E34E3B"/>
    <w:rsid w:val="12E4134C"/>
    <w:rsid w:val="12E52961"/>
    <w:rsid w:val="12E806A4"/>
    <w:rsid w:val="12E84200"/>
    <w:rsid w:val="12EA441C"/>
    <w:rsid w:val="12EA5817"/>
    <w:rsid w:val="12EB3CF0"/>
    <w:rsid w:val="12ED0DC6"/>
    <w:rsid w:val="12ED7A68"/>
    <w:rsid w:val="12EE01F9"/>
    <w:rsid w:val="12EF1A32"/>
    <w:rsid w:val="12F11306"/>
    <w:rsid w:val="12F17558"/>
    <w:rsid w:val="12F25E2D"/>
    <w:rsid w:val="12F62DC0"/>
    <w:rsid w:val="12F901BB"/>
    <w:rsid w:val="12F9465F"/>
    <w:rsid w:val="12FA3BCB"/>
    <w:rsid w:val="12FB2185"/>
    <w:rsid w:val="12FE511D"/>
    <w:rsid w:val="1300779B"/>
    <w:rsid w:val="13021765"/>
    <w:rsid w:val="13031039"/>
    <w:rsid w:val="13082AF4"/>
    <w:rsid w:val="13086650"/>
    <w:rsid w:val="130A23C8"/>
    <w:rsid w:val="130C4392"/>
    <w:rsid w:val="131119A8"/>
    <w:rsid w:val="131320DA"/>
    <w:rsid w:val="13165211"/>
    <w:rsid w:val="13166FBF"/>
    <w:rsid w:val="13180F89"/>
    <w:rsid w:val="13196AAF"/>
    <w:rsid w:val="131A70DA"/>
    <w:rsid w:val="131B2827"/>
    <w:rsid w:val="131B45D5"/>
    <w:rsid w:val="131C20FB"/>
    <w:rsid w:val="131D659F"/>
    <w:rsid w:val="131E7C21"/>
    <w:rsid w:val="131F4456"/>
    <w:rsid w:val="13217712"/>
    <w:rsid w:val="13220D35"/>
    <w:rsid w:val="13225964"/>
    <w:rsid w:val="13246E38"/>
    <w:rsid w:val="13294F44"/>
    <w:rsid w:val="132C0590"/>
    <w:rsid w:val="132F0080"/>
    <w:rsid w:val="133236CD"/>
    <w:rsid w:val="1333260E"/>
    <w:rsid w:val="133451EC"/>
    <w:rsid w:val="133631BD"/>
    <w:rsid w:val="133833D9"/>
    <w:rsid w:val="13385187"/>
    <w:rsid w:val="13390EFF"/>
    <w:rsid w:val="13394A5B"/>
    <w:rsid w:val="133B6A25"/>
    <w:rsid w:val="133C549C"/>
    <w:rsid w:val="133D19A4"/>
    <w:rsid w:val="133E02C4"/>
    <w:rsid w:val="133E2072"/>
    <w:rsid w:val="133E6515"/>
    <w:rsid w:val="1340228E"/>
    <w:rsid w:val="13421B62"/>
    <w:rsid w:val="134441B4"/>
    <w:rsid w:val="134621D2"/>
    <w:rsid w:val="13464EA3"/>
    <w:rsid w:val="13465FE5"/>
    <w:rsid w:val="134B6768"/>
    <w:rsid w:val="134D114A"/>
    <w:rsid w:val="134E3533"/>
    <w:rsid w:val="13516249"/>
    <w:rsid w:val="13517FF7"/>
    <w:rsid w:val="13520775"/>
    <w:rsid w:val="13525B1D"/>
    <w:rsid w:val="13533D6F"/>
    <w:rsid w:val="13541895"/>
    <w:rsid w:val="13547AE7"/>
    <w:rsid w:val="13561AB1"/>
    <w:rsid w:val="135639C7"/>
    <w:rsid w:val="13566748"/>
    <w:rsid w:val="13566AB3"/>
    <w:rsid w:val="135670F6"/>
    <w:rsid w:val="13596EAB"/>
    <w:rsid w:val="135A334F"/>
    <w:rsid w:val="135A4A4C"/>
    <w:rsid w:val="135D2E40"/>
    <w:rsid w:val="135E0459"/>
    <w:rsid w:val="13631AD8"/>
    <w:rsid w:val="13632A7F"/>
    <w:rsid w:val="13632E3B"/>
    <w:rsid w:val="13641290"/>
    <w:rsid w:val="13651CF4"/>
    <w:rsid w:val="136715C8"/>
    <w:rsid w:val="1376180B"/>
    <w:rsid w:val="13762088"/>
    <w:rsid w:val="13783BD1"/>
    <w:rsid w:val="137C7F93"/>
    <w:rsid w:val="137D2B9A"/>
    <w:rsid w:val="137F4B64"/>
    <w:rsid w:val="13802363"/>
    <w:rsid w:val="1380268A"/>
    <w:rsid w:val="13815D2A"/>
    <w:rsid w:val="138163C4"/>
    <w:rsid w:val="138228A6"/>
    <w:rsid w:val="13824C83"/>
    <w:rsid w:val="138959E3"/>
    <w:rsid w:val="13897791"/>
    <w:rsid w:val="138A175B"/>
    <w:rsid w:val="138E124B"/>
    <w:rsid w:val="138F0A28"/>
    <w:rsid w:val="138F0B1F"/>
    <w:rsid w:val="13904FC3"/>
    <w:rsid w:val="13906D71"/>
    <w:rsid w:val="13912AE9"/>
    <w:rsid w:val="13914897"/>
    <w:rsid w:val="13916645"/>
    <w:rsid w:val="1393060F"/>
    <w:rsid w:val="139323BD"/>
    <w:rsid w:val="13955CCA"/>
    <w:rsid w:val="13955E87"/>
    <w:rsid w:val="13961EAE"/>
    <w:rsid w:val="13983E78"/>
    <w:rsid w:val="139879D4"/>
    <w:rsid w:val="1399374C"/>
    <w:rsid w:val="139A199E"/>
    <w:rsid w:val="139B3968"/>
    <w:rsid w:val="139B5716"/>
    <w:rsid w:val="139D3570"/>
    <w:rsid w:val="139E0D62"/>
    <w:rsid w:val="13A02D2C"/>
    <w:rsid w:val="13A04ADA"/>
    <w:rsid w:val="13A22600"/>
    <w:rsid w:val="13A24CF6"/>
    <w:rsid w:val="13A445CA"/>
    <w:rsid w:val="13A52BEE"/>
    <w:rsid w:val="13A7230D"/>
    <w:rsid w:val="13AA10D3"/>
    <w:rsid w:val="13AA1353"/>
    <w:rsid w:val="13AB531F"/>
    <w:rsid w:val="13AC7923"/>
    <w:rsid w:val="13AE7D8B"/>
    <w:rsid w:val="13AF2F6F"/>
    <w:rsid w:val="13B011C1"/>
    <w:rsid w:val="13B13D62"/>
    <w:rsid w:val="13B62550"/>
    <w:rsid w:val="13B81E24"/>
    <w:rsid w:val="13B862C8"/>
    <w:rsid w:val="13BA0A4B"/>
    <w:rsid w:val="13BA3DEE"/>
    <w:rsid w:val="13BB14CF"/>
    <w:rsid w:val="13BC5DB8"/>
    <w:rsid w:val="13BD743A"/>
    <w:rsid w:val="13BF1262"/>
    <w:rsid w:val="13BF1404"/>
    <w:rsid w:val="13C0517C"/>
    <w:rsid w:val="13C1339A"/>
    <w:rsid w:val="13C95DDF"/>
    <w:rsid w:val="13CC58CF"/>
    <w:rsid w:val="13CE328A"/>
    <w:rsid w:val="13D31D3F"/>
    <w:rsid w:val="13D34EB0"/>
    <w:rsid w:val="13D50C28"/>
    <w:rsid w:val="13D641B3"/>
    <w:rsid w:val="13D80718"/>
    <w:rsid w:val="13D84274"/>
    <w:rsid w:val="13D93B40"/>
    <w:rsid w:val="13DA4490"/>
    <w:rsid w:val="13DA623E"/>
    <w:rsid w:val="13DF5603"/>
    <w:rsid w:val="13E1581F"/>
    <w:rsid w:val="13E175CD"/>
    <w:rsid w:val="13E22B90"/>
    <w:rsid w:val="13E62E35"/>
    <w:rsid w:val="13E744B7"/>
    <w:rsid w:val="13E9022F"/>
    <w:rsid w:val="13E939FC"/>
    <w:rsid w:val="13E97E92"/>
    <w:rsid w:val="13ED41C3"/>
    <w:rsid w:val="13EE1CD2"/>
    <w:rsid w:val="13EE5846"/>
    <w:rsid w:val="13EF7788"/>
    <w:rsid w:val="13F05A62"/>
    <w:rsid w:val="13F07810"/>
    <w:rsid w:val="13F310AE"/>
    <w:rsid w:val="13F866C4"/>
    <w:rsid w:val="13FA0E17"/>
    <w:rsid w:val="13FA41EA"/>
    <w:rsid w:val="13FB7F63"/>
    <w:rsid w:val="13FD45D9"/>
    <w:rsid w:val="13FF5CA5"/>
    <w:rsid w:val="13FF7A53"/>
    <w:rsid w:val="1402217A"/>
    <w:rsid w:val="14025795"/>
    <w:rsid w:val="14055F2A"/>
    <w:rsid w:val="14060DE1"/>
    <w:rsid w:val="140A205D"/>
    <w:rsid w:val="140B464A"/>
    <w:rsid w:val="140B63F8"/>
    <w:rsid w:val="140E5EE8"/>
    <w:rsid w:val="14121EBF"/>
    <w:rsid w:val="141253DE"/>
    <w:rsid w:val="141259D8"/>
    <w:rsid w:val="14150CB6"/>
    <w:rsid w:val="14151024"/>
    <w:rsid w:val="141554C8"/>
    <w:rsid w:val="14172FEE"/>
    <w:rsid w:val="14184FB8"/>
    <w:rsid w:val="141A2ADF"/>
    <w:rsid w:val="141A663B"/>
    <w:rsid w:val="141B23B3"/>
    <w:rsid w:val="141D25CF"/>
    <w:rsid w:val="141D612B"/>
    <w:rsid w:val="141F00F5"/>
    <w:rsid w:val="14213E6D"/>
    <w:rsid w:val="14221993"/>
    <w:rsid w:val="14223741"/>
    <w:rsid w:val="142474B9"/>
    <w:rsid w:val="14264FE0"/>
    <w:rsid w:val="142676D5"/>
    <w:rsid w:val="142B6A9A"/>
    <w:rsid w:val="142D2812"/>
    <w:rsid w:val="142F2CAE"/>
    <w:rsid w:val="143040B0"/>
    <w:rsid w:val="14307D5E"/>
    <w:rsid w:val="14335CCB"/>
    <w:rsid w:val="143376FC"/>
    <w:rsid w:val="14353475"/>
    <w:rsid w:val="1437543F"/>
    <w:rsid w:val="14382F65"/>
    <w:rsid w:val="143A0A8B"/>
    <w:rsid w:val="143A4F2F"/>
    <w:rsid w:val="143B18C7"/>
    <w:rsid w:val="143E4A1F"/>
    <w:rsid w:val="14432035"/>
    <w:rsid w:val="14445DAD"/>
    <w:rsid w:val="14495172"/>
    <w:rsid w:val="144A5D9E"/>
    <w:rsid w:val="144B0EEA"/>
    <w:rsid w:val="144C07BE"/>
    <w:rsid w:val="144C6FE7"/>
    <w:rsid w:val="144D6A10"/>
    <w:rsid w:val="145002AE"/>
    <w:rsid w:val="14514E92"/>
    <w:rsid w:val="14551D69"/>
    <w:rsid w:val="14553B17"/>
    <w:rsid w:val="145558C5"/>
    <w:rsid w:val="145A112D"/>
    <w:rsid w:val="145A4152"/>
    <w:rsid w:val="145C30F7"/>
    <w:rsid w:val="145D29CB"/>
    <w:rsid w:val="145E56A4"/>
    <w:rsid w:val="145F04F1"/>
    <w:rsid w:val="145F228C"/>
    <w:rsid w:val="145F6743"/>
    <w:rsid w:val="14641FAC"/>
    <w:rsid w:val="14643D5A"/>
    <w:rsid w:val="14665D24"/>
    <w:rsid w:val="14667AD2"/>
    <w:rsid w:val="14685425"/>
    <w:rsid w:val="14691370"/>
    <w:rsid w:val="146B333A"/>
    <w:rsid w:val="146F4EE8"/>
    <w:rsid w:val="147026FF"/>
    <w:rsid w:val="147246C9"/>
    <w:rsid w:val="14733F9D"/>
    <w:rsid w:val="147541B9"/>
    <w:rsid w:val="14771CDF"/>
    <w:rsid w:val="147A17CF"/>
    <w:rsid w:val="147B7002"/>
    <w:rsid w:val="147C72F5"/>
    <w:rsid w:val="147E306D"/>
    <w:rsid w:val="147E4E1C"/>
    <w:rsid w:val="147F0B94"/>
    <w:rsid w:val="147F2942"/>
    <w:rsid w:val="148111F6"/>
    <w:rsid w:val="1481490C"/>
    <w:rsid w:val="148166BA"/>
    <w:rsid w:val="148368D6"/>
    <w:rsid w:val="148461AA"/>
    <w:rsid w:val="14860BF1"/>
    <w:rsid w:val="14861F22"/>
    <w:rsid w:val="14885D40"/>
    <w:rsid w:val="14887A48"/>
    <w:rsid w:val="148B12E6"/>
    <w:rsid w:val="148B7538"/>
    <w:rsid w:val="148D1503"/>
    <w:rsid w:val="148E0DD7"/>
    <w:rsid w:val="14902DA1"/>
    <w:rsid w:val="149219C3"/>
    <w:rsid w:val="149418F0"/>
    <w:rsid w:val="14942891"/>
    <w:rsid w:val="14943583"/>
    <w:rsid w:val="14950344"/>
    <w:rsid w:val="1497412F"/>
    <w:rsid w:val="14983A03"/>
    <w:rsid w:val="149B2A75"/>
    <w:rsid w:val="149B46E3"/>
    <w:rsid w:val="149C1746"/>
    <w:rsid w:val="149C34F4"/>
    <w:rsid w:val="149E54BE"/>
    <w:rsid w:val="14A16D5C"/>
    <w:rsid w:val="14A30D26"/>
    <w:rsid w:val="14A44CEC"/>
    <w:rsid w:val="14A66120"/>
    <w:rsid w:val="14A8633C"/>
    <w:rsid w:val="14A95C11"/>
    <w:rsid w:val="14AD3953"/>
    <w:rsid w:val="14AE3227"/>
    <w:rsid w:val="14AF1479"/>
    <w:rsid w:val="14B00D4D"/>
    <w:rsid w:val="14B20F69"/>
    <w:rsid w:val="14B22D17"/>
    <w:rsid w:val="14B44CE1"/>
    <w:rsid w:val="14B60A59"/>
    <w:rsid w:val="14B720DC"/>
    <w:rsid w:val="14BA7E1E"/>
    <w:rsid w:val="14BB574D"/>
    <w:rsid w:val="14BC1DE8"/>
    <w:rsid w:val="14BE346A"/>
    <w:rsid w:val="14C0248F"/>
    <w:rsid w:val="14C12F5A"/>
    <w:rsid w:val="14CB3DD9"/>
    <w:rsid w:val="14CF38C9"/>
    <w:rsid w:val="14D013EF"/>
    <w:rsid w:val="14D709D0"/>
    <w:rsid w:val="14D7277E"/>
    <w:rsid w:val="14D964F6"/>
    <w:rsid w:val="14DB226E"/>
    <w:rsid w:val="14DC1398"/>
    <w:rsid w:val="14DE3B0C"/>
    <w:rsid w:val="14DF0578"/>
    <w:rsid w:val="14DF1632"/>
    <w:rsid w:val="14E05AD6"/>
    <w:rsid w:val="14E07884"/>
    <w:rsid w:val="14E153AA"/>
    <w:rsid w:val="14E46C49"/>
    <w:rsid w:val="14E8107C"/>
    <w:rsid w:val="14E86739"/>
    <w:rsid w:val="14EA399C"/>
    <w:rsid w:val="14EB139A"/>
    <w:rsid w:val="14EB6229"/>
    <w:rsid w:val="14EB7FD7"/>
    <w:rsid w:val="14EC25C7"/>
    <w:rsid w:val="14EC447B"/>
    <w:rsid w:val="14ED1FA1"/>
    <w:rsid w:val="14EF5D19"/>
    <w:rsid w:val="14EF780E"/>
    <w:rsid w:val="14F0401E"/>
    <w:rsid w:val="14F25809"/>
    <w:rsid w:val="14F43330"/>
    <w:rsid w:val="14F450DE"/>
    <w:rsid w:val="14F50E56"/>
    <w:rsid w:val="14F670A8"/>
    <w:rsid w:val="14FA6062"/>
    <w:rsid w:val="14FB2910"/>
    <w:rsid w:val="14FB46BE"/>
    <w:rsid w:val="14FC0436"/>
    <w:rsid w:val="14FC21E4"/>
    <w:rsid w:val="14FE0980"/>
    <w:rsid w:val="14FE32A2"/>
    <w:rsid w:val="14FE5E73"/>
    <w:rsid w:val="14FE762F"/>
    <w:rsid w:val="15003A82"/>
    <w:rsid w:val="15007F26"/>
    <w:rsid w:val="150177FB"/>
    <w:rsid w:val="15033573"/>
    <w:rsid w:val="1505553D"/>
    <w:rsid w:val="15064E11"/>
    <w:rsid w:val="150712B5"/>
    <w:rsid w:val="15076514"/>
    <w:rsid w:val="15082937"/>
    <w:rsid w:val="15086DDB"/>
    <w:rsid w:val="150B2427"/>
    <w:rsid w:val="150C68CB"/>
    <w:rsid w:val="150F0169"/>
    <w:rsid w:val="150F1F18"/>
    <w:rsid w:val="15115C90"/>
    <w:rsid w:val="151237B6"/>
    <w:rsid w:val="15127979"/>
    <w:rsid w:val="151412DC"/>
    <w:rsid w:val="15150099"/>
    <w:rsid w:val="151614F8"/>
    <w:rsid w:val="15192A7B"/>
    <w:rsid w:val="151B08BC"/>
    <w:rsid w:val="151E65FF"/>
    <w:rsid w:val="15204125"/>
    <w:rsid w:val="15211C4B"/>
    <w:rsid w:val="1522229D"/>
    <w:rsid w:val="15227E9D"/>
    <w:rsid w:val="15233B2D"/>
    <w:rsid w:val="152359C3"/>
    <w:rsid w:val="1525173B"/>
    <w:rsid w:val="152534E9"/>
    <w:rsid w:val="1525798D"/>
    <w:rsid w:val="15284D87"/>
    <w:rsid w:val="152D05F0"/>
    <w:rsid w:val="152D6842"/>
    <w:rsid w:val="152F25BA"/>
    <w:rsid w:val="152F4368"/>
    <w:rsid w:val="15316332"/>
    <w:rsid w:val="15347BD0"/>
    <w:rsid w:val="153876C0"/>
    <w:rsid w:val="153B2D0D"/>
    <w:rsid w:val="153C0833"/>
    <w:rsid w:val="153C6A85"/>
    <w:rsid w:val="15400323"/>
    <w:rsid w:val="154047C7"/>
    <w:rsid w:val="15415E49"/>
    <w:rsid w:val="154222ED"/>
    <w:rsid w:val="154276D1"/>
    <w:rsid w:val="15436065"/>
    <w:rsid w:val="15455939"/>
    <w:rsid w:val="15475B55"/>
    <w:rsid w:val="154806C6"/>
    <w:rsid w:val="1548367B"/>
    <w:rsid w:val="154A0419"/>
    <w:rsid w:val="154A11A2"/>
    <w:rsid w:val="154C316C"/>
    <w:rsid w:val="154F4A0A"/>
    <w:rsid w:val="15512530"/>
    <w:rsid w:val="155468E1"/>
    <w:rsid w:val="15565D98"/>
    <w:rsid w:val="15567B46"/>
    <w:rsid w:val="1557566D"/>
    <w:rsid w:val="155913E5"/>
    <w:rsid w:val="15591B3D"/>
    <w:rsid w:val="15595889"/>
    <w:rsid w:val="155B6F0B"/>
    <w:rsid w:val="155C2C83"/>
    <w:rsid w:val="155D7127"/>
    <w:rsid w:val="156038DF"/>
    <w:rsid w:val="15604521"/>
    <w:rsid w:val="15634011"/>
    <w:rsid w:val="15655FDB"/>
    <w:rsid w:val="15695ACC"/>
    <w:rsid w:val="156C2EC6"/>
    <w:rsid w:val="156C43B4"/>
    <w:rsid w:val="156F29B6"/>
    <w:rsid w:val="15712BD2"/>
    <w:rsid w:val="1571672E"/>
    <w:rsid w:val="15730D7C"/>
    <w:rsid w:val="15763D45"/>
    <w:rsid w:val="15766853"/>
    <w:rsid w:val="15791A87"/>
    <w:rsid w:val="15793835"/>
    <w:rsid w:val="157B135B"/>
    <w:rsid w:val="157E5BC8"/>
    <w:rsid w:val="15802E15"/>
    <w:rsid w:val="15804BC3"/>
    <w:rsid w:val="158305A9"/>
    <w:rsid w:val="158346B4"/>
    <w:rsid w:val="1585042C"/>
    <w:rsid w:val="1585667E"/>
    <w:rsid w:val="158741A4"/>
    <w:rsid w:val="15875F52"/>
    <w:rsid w:val="15877D00"/>
    <w:rsid w:val="158A77F0"/>
    <w:rsid w:val="158B01CB"/>
    <w:rsid w:val="158C5316"/>
    <w:rsid w:val="158D108E"/>
    <w:rsid w:val="158F1A82"/>
    <w:rsid w:val="15962AE1"/>
    <w:rsid w:val="15977EAF"/>
    <w:rsid w:val="15997A33"/>
    <w:rsid w:val="159D4C03"/>
    <w:rsid w:val="159D5775"/>
    <w:rsid w:val="159E329B"/>
    <w:rsid w:val="15A1784D"/>
    <w:rsid w:val="15A24B3A"/>
    <w:rsid w:val="15A46B04"/>
    <w:rsid w:val="15A53943"/>
    <w:rsid w:val="15A703A2"/>
    <w:rsid w:val="15A72150"/>
    <w:rsid w:val="15A76263"/>
    <w:rsid w:val="15A779A4"/>
    <w:rsid w:val="15A9236C"/>
    <w:rsid w:val="15A94E95"/>
    <w:rsid w:val="15A96842"/>
    <w:rsid w:val="15AA1C40"/>
    <w:rsid w:val="15AB4BE4"/>
    <w:rsid w:val="15AC59B8"/>
    <w:rsid w:val="15AC7766"/>
    <w:rsid w:val="15AE4CA6"/>
    <w:rsid w:val="15AE7982"/>
    <w:rsid w:val="15AF353F"/>
    <w:rsid w:val="15B11EE6"/>
    <w:rsid w:val="15B35F47"/>
    <w:rsid w:val="15B50D11"/>
    <w:rsid w:val="15B825AF"/>
    <w:rsid w:val="15B8610B"/>
    <w:rsid w:val="15B91E83"/>
    <w:rsid w:val="15B97F07"/>
    <w:rsid w:val="15BB3E4D"/>
    <w:rsid w:val="15BD1974"/>
    <w:rsid w:val="15C22E6B"/>
    <w:rsid w:val="15C342FB"/>
    <w:rsid w:val="15C90318"/>
    <w:rsid w:val="15CA22E2"/>
    <w:rsid w:val="15CA2D3E"/>
    <w:rsid w:val="15CE3B81"/>
    <w:rsid w:val="15D0546F"/>
    <w:rsid w:val="15D31197"/>
    <w:rsid w:val="15D60C87"/>
    <w:rsid w:val="15D62A35"/>
    <w:rsid w:val="15D849FF"/>
    <w:rsid w:val="15D867AD"/>
    <w:rsid w:val="15DB44F0"/>
    <w:rsid w:val="15DB629E"/>
    <w:rsid w:val="15DD0268"/>
    <w:rsid w:val="15DD2016"/>
    <w:rsid w:val="15DD3DC4"/>
    <w:rsid w:val="15DD7A73"/>
    <w:rsid w:val="15DE533C"/>
    <w:rsid w:val="15E05662"/>
    <w:rsid w:val="15E11B06"/>
    <w:rsid w:val="15E52C78"/>
    <w:rsid w:val="15E83826"/>
    <w:rsid w:val="15E96C0C"/>
    <w:rsid w:val="15EA028F"/>
    <w:rsid w:val="15EB6B8F"/>
    <w:rsid w:val="15EE2139"/>
    <w:rsid w:val="15EE7D7F"/>
    <w:rsid w:val="15EF3AF7"/>
    <w:rsid w:val="15F07F9B"/>
    <w:rsid w:val="15F1786F"/>
    <w:rsid w:val="15F335E7"/>
    <w:rsid w:val="15F44BBD"/>
    <w:rsid w:val="15F61D5B"/>
    <w:rsid w:val="15F64E85"/>
    <w:rsid w:val="15F80229"/>
    <w:rsid w:val="15F8467B"/>
    <w:rsid w:val="15FA2BC8"/>
    <w:rsid w:val="15FB249C"/>
    <w:rsid w:val="15FD7FC2"/>
    <w:rsid w:val="16041350"/>
    <w:rsid w:val="160550C9"/>
    <w:rsid w:val="160939A2"/>
    <w:rsid w:val="16096967"/>
    <w:rsid w:val="160B0931"/>
    <w:rsid w:val="160C28FB"/>
    <w:rsid w:val="160C56C2"/>
    <w:rsid w:val="160E6673"/>
    <w:rsid w:val="160F6FEB"/>
    <w:rsid w:val="1610127B"/>
    <w:rsid w:val="16104199"/>
    <w:rsid w:val="16117F11"/>
    <w:rsid w:val="16175528"/>
    <w:rsid w:val="161812A0"/>
    <w:rsid w:val="161A5018"/>
    <w:rsid w:val="161B48EC"/>
    <w:rsid w:val="161D2412"/>
    <w:rsid w:val="161E34FC"/>
    <w:rsid w:val="161F04FA"/>
    <w:rsid w:val="16223ECC"/>
    <w:rsid w:val="16242865"/>
    <w:rsid w:val="162437A1"/>
    <w:rsid w:val="16247C45"/>
    <w:rsid w:val="16252961"/>
    <w:rsid w:val="162639BD"/>
    <w:rsid w:val="162714E3"/>
    <w:rsid w:val="162722CA"/>
    <w:rsid w:val="16297009"/>
    <w:rsid w:val="162A44F8"/>
    <w:rsid w:val="162C6AF9"/>
    <w:rsid w:val="162E0AC3"/>
    <w:rsid w:val="162E25C4"/>
    <w:rsid w:val="16302145"/>
    <w:rsid w:val="163065E9"/>
    <w:rsid w:val="1632217B"/>
    <w:rsid w:val="163360DA"/>
    <w:rsid w:val="16351E52"/>
    <w:rsid w:val="16353C00"/>
    <w:rsid w:val="163559AE"/>
    <w:rsid w:val="1635647A"/>
    <w:rsid w:val="1635775C"/>
    <w:rsid w:val="163634D4"/>
    <w:rsid w:val="163A2FC4"/>
    <w:rsid w:val="163A7468"/>
    <w:rsid w:val="163D4862"/>
    <w:rsid w:val="163F4A7E"/>
    <w:rsid w:val="16465E0D"/>
    <w:rsid w:val="16467BBB"/>
    <w:rsid w:val="16473933"/>
    <w:rsid w:val="16493207"/>
    <w:rsid w:val="164976AB"/>
    <w:rsid w:val="164B51D1"/>
    <w:rsid w:val="16504596"/>
    <w:rsid w:val="1651030E"/>
    <w:rsid w:val="16516CA8"/>
    <w:rsid w:val="165247B2"/>
    <w:rsid w:val="16560199"/>
    <w:rsid w:val="16565924"/>
    <w:rsid w:val="16585B40"/>
    <w:rsid w:val="16596A26"/>
    <w:rsid w:val="165A18B8"/>
    <w:rsid w:val="165A5414"/>
    <w:rsid w:val="165C73DE"/>
    <w:rsid w:val="166221AA"/>
    <w:rsid w:val="1662251B"/>
    <w:rsid w:val="166242C9"/>
    <w:rsid w:val="1663076D"/>
    <w:rsid w:val="16642292"/>
    <w:rsid w:val="16646CBF"/>
    <w:rsid w:val="1665195E"/>
    <w:rsid w:val="16677A13"/>
    <w:rsid w:val="166938A9"/>
    <w:rsid w:val="166C5148"/>
    <w:rsid w:val="166E7112"/>
    <w:rsid w:val="167069E6"/>
    <w:rsid w:val="16734728"/>
    <w:rsid w:val="1674297A"/>
    <w:rsid w:val="167504A0"/>
    <w:rsid w:val="16753FFC"/>
    <w:rsid w:val="1676667C"/>
    <w:rsid w:val="16775B11"/>
    <w:rsid w:val="16783AEC"/>
    <w:rsid w:val="167A5AB7"/>
    <w:rsid w:val="167A7865"/>
    <w:rsid w:val="167C35DD"/>
    <w:rsid w:val="167D7355"/>
    <w:rsid w:val="167F4AB6"/>
    <w:rsid w:val="16810BF3"/>
    <w:rsid w:val="168406E3"/>
    <w:rsid w:val="168416D9"/>
    <w:rsid w:val="16842491"/>
    <w:rsid w:val="16846935"/>
    <w:rsid w:val="16895CFA"/>
    <w:rsid w:val="168B1A72"/>
    <w:rsid w:val="168D3A3C"/>
    <w:rsid w:val="168E1562"/>
    <w:rsid w:val="168E5B5C"/>
    <w:rsid w:val="16900E36"/>
    <w:rsid w:val="1692064E"/>
    <w:rsid w:val="16924BAE"/>
    <w:rsid w:val="169528F0"/>
    <w:rsid w:val="16970417"/>
    <w:rsid w:val="169C3C7F"/>
    <w:rsid w:val="169D534A"/>
    <w:rsid w:val="169E17A5"/>
    <w:rsid w:val="169E79F7"/>
    <w:rsid w:val="16A10D7E"/>
    <w:rsid w:val="16A42B33"/>
    <w:rsid w:val="16A448E1"/>
    <w:rsid w:val="16A6065A"/>
    <w:rsid w:val="16A754B9"/>
    <w:rsid w:val="16A843D2"/>
    <w:rsid w:val="16AA3997"/>
    <w:rsid w:val="16AB3EC2"/>
    <w:rsid w:val="16AC2B31"/>
    <w:rsid w:val="16AC5E91"/>
    <w:rsid w:val="16AE1553"/>
    <w:rsid w:val="16AE28C5"/>
    <w:rsid w:val="16AE750E"/>
    <w:rsid w:val="16AF39B2"/>
    <w:rsid w:val="16B014D8"/>
    <w:rsid w:val="16B03286"/>
    <w:rsid w:val="16B234A2"/>
    <w:rsid w:val="16B3387D"/>
    <w:rsid w:val="16B34B25"/>
    <w:rsid w:val="16B40FC8"/>
    <w:rsid w:val="16B54D41"/>
    <w:rsid w:val="16B70AB9"/>
    <w:rsid w:val="16B80517"/>
    <w:rsid w:val="16B9038D"/>
    <w:rsid w:val="16B965DF"/>
    <w:rsid w:val="16BA4105"/>
    <w:rsid w:val="16BA6D54"/>
    <w:rsid w:val="16BB01E4"/>
    <w:rsid w:val="16BC60CF"/>
    <w:rsid w:val="16BE43E7"/>
    <w:rsid w:val="16BF171B"/>
    <w:rsid w:val="16BF34C9"/>
    <w:rsid w:val="16C254E6"/>
    <w:rsid w:val="16C32FBA"/>
    <w:rsid w:val="16C44F84"/>
    <w:rsid w:val="16C64858"/>
    <w:rsid w:val="16CA7F8A"/>
    <w:rsid w:val="16CC28AA"/>
    <w:rsid w:val="16CC6296"/>
    <w:rsid w:val="16D26FCF"/>
    <w:rsid w:val="16D32FBB"/>
    <w:rsid w:val="16D74CB7"/>
    <w:rsid w:val="16D927DD"/>
    <w:rsid w:val="16DA6555"/>
    <w:rsid w:val="16DB6C70"/>
    <w:rsid w:val="16DC22CD"/>
    <w:rsid w:val="16E15B36"/>
    <w:rsid w:val="16E178E4"/>
    <w:rsid w:val="16E3540A"/>
    <w:rsid w:val="16E41182"/>
    <w:rsid w:val="16E56387"/>
    <w:rsid w:val="16E6314C"/>
    <w:rsid w:val="16E66CA8"/>
    <w:rsid w:val="16E82A20"/>
    <w:rsid w:val="16EA0D76"/>
    <w:rsid w:val="16EA49EA"/>
    <w:rsid w:val="16EB42BE"/>
    <w:rsid w:val="16EE3073"/>
    <w:rsid w:val="16EF0253"/>
    <w:rsid w:val="16F01CA5"/>
    <w:rsid w:val="16F07B27"/>
    <w:rsid w:val="16F16621"/>
    <w:rsid w:val="16F413C5"/>
    <w:rsid w:val="16F72C63"/>
    <w:rsid w:val="16F74821"/>
    <w:rsid w:val="16F86CF6"/>
    <w:rsid w:val="16F94C2D"/>
    <w:rsid w:val="16F969DB"/>
    <w:rsid w:val="16FB6BF7"/>
    <w:rsid w:val="16FC64CC"/>
    <w:rsid w:val="16FE0496"/>
    <w:rsid w:val="16FE2244"/>
    <w:rsid w:val="16FF7D6A"/>
    <w:rsid w:val="17005FBC"/>
    <w:rsid w:val="17011D34"/>
    <w:rsid w:val="17033CFE"/>
    <w:rsid w:val="17037DD1"/>
    <w:rsid w:val="17044DC6"/>
    <w:rsid w:val="1706559C"/>
    <w:rsid w:val="17066928"/>
    <w:rsid w:val="170671B4"/>
    <w:rsid w:val="17067369"/>
    <w:rsid w:val="170813BB"/>
    <w:rsid w:val="17084E70"/>
    <w:rsid w:val="170A6E3A"/>
    <w:rsid w:val="170B2BB3"/>
    <w:rsid w:val="170D06D9"/>
    <w:rsid w:val="170F26A3"/>
    <w:rsid w:val="170F4451"/>
    <w:rsid w:val="171001C9"/>
    <w:rsid w:val="1711641B"/>
    <w:rsid w:val="17123F41"/>
    <w:rsid w:val="17125CEF"/>
    <w:rsid w:val="17163A31"/>
    <w:rsid w:val="17192340"/>
    <w:rsid w:val="171952CF"/>
    <w:rsid w:val="171F21BA"/>
    <w:rsid w:val="17210AD2"/>
    <w:rsid w:val="17214184"/>
    <w:rsid w:val="17231CAA"/>
    <w:rsid w:val="17242CEB"/>
    <w:rsid w:val="17247453"/>
    <w:rsid w:val="17263548"/>
    <w:rsid w:val="172F4AF3"/>
    <w:rsid w:val="172F7CEA"/>
    <w:rsid w:val="1732013F"/>
    <w:rsid w:val="173259E9"/>
    <w:rsid w:val="17345C65"/>
    <w:rsid w:val="17361246"/>
    <w:rsid w:val="173619DD"/>
    <w:rsid w:val="173739A8"/>
    <w:rsid w:val="173914CE"/>
    <w:rsid w:val="1739327C"/>
    <w:rsid w:val="173B3498"/>
    <w:rsid w:val="173E0892"/>
    <w:rsid w:val="17400AAE"/>
    <w:rsid w:val="1740460A"/>
    <w:rsid w:val="1741697B"/>
    <w:rsid w:val="1743234C"/>
    <w:rsid w:val="17463BEB"/>
    <w:rsid w:val="17487240"/>
    <w:rsid w:val="174A36DB"/>
    <w:rsid w:val="174A7237"/>
    <w:rsid w:val="174D665F"/>
    <w:rsid w:val="174F2A9F"/>
    <w:rsid w:val="17514FCE"/>
    <w:rsid w:val="1752258F"/>
    <w:rsid w:val="17527900"/>
    <w:rsid w:val="17544559"/>
    <w:rsid w:val="17546308"/>
    <w:rsid w:val="17555BDC"/>
    <w:rsid w:val="17560E52"/>
    <w:rsid w:val="1759391E"/>
    <w:rsid w:val="175D340E"/>
    <w:rsid w:val="175E69A5"/>
    <w:rsid w:val="17604CAC"/>
    <w:rsid w:val="176302F9"/>
    <w:rsid w:val="1763654B"/>
    <w:rsid w:val="17650515"/>
    <w:rsid w:val="17654071"/>
    <w:rsid w:val="1767428D"/>
    <w:rsid w:val="1768590F"/>
    <w:rsid w:val="176A1687"/>
    <w:rsid w:val="176F4EEF"/>
    <w:rsid w:val="17732C32"/>
    <w:rsid w:val="1774180A"/>
    <w:rsid w:val="177469AA"/>
    <w:rsid w:val="17771FF6"/>
    <w:rsid w:val="17773DA4"/>
    <w:rsid w:val="17797B1C"/>
    <w:rsid w:val="177B1AE6"/>
    <w:rsid w:val="177C13BA"/>
    <w:rsid w:val="177E15D6"/>
    <w:rsid w:val="17800EAB"/>
    <w:rsid w:val="17807639"/>
    <w:rsid w:val="17832749"/>
    <w:rsid w:val="17854713"/>
    <w:rsid w:val="1787048B"/>
    <w:rsid w:val="17875FF8"/>
    <w:rsid w:val="178766DD"/>
    <w:rsid w:val="17877C80"/>
    <w:rsid w:val="17884203"/>
    <w:rsid w:val="17885FB1"/>
    <w:rsid w:val="178865EF"/>
    <w:rsid w:val="17887D5F"/>
    <w:rsid w:val="178A6DBB"/>
    <w:rsid w:val="178B04F8"/>
    <w:rsid w:val="178C3CF3"/>
    <w:rsid w:val="178C5AA1"/>
    <w:rsid w:val="178D1819"/>
    <w:rsid w:val="178D5376"/>
    <w:rsid w:val="178E7A6B"/>
    <w:rsid w:val="178F3488"/>
    <w:rsid w:val="17914E66"/>
    <w:rsid w:val="17935082"/>
    <w:rsid w:val="179670F4"/>
    <w:rsid w:val="17991F6C"/>
    <w:rsid w:val="17996410"/>
    <w:rsid w:val="179B3F36"/>
    <w:rsid w:val="179C380B"/>
    <w:rsid w:val="179D7CAF"/>
    <w:rsid w:val="17A0154D"/>
    <w:rsid w:val="17A50911"/>
    <w:rsid w:val="17A74689"/>
    <w:rsid w:val="17A96653"/>
    <w:rsid w:val="17AA6D72"/>
    <w:rsid w:val="17B1375A"/>
    <w:rsid w:val="17B374D2"/>
    <w:rsid w:val="17B43302"/>
    <w:rsid w:val="17B46DA6"/>
    <w:rsid w:val="17B63073"/>
    <w:rsid w:val="17B9260F"/>
    <w:rsid w:val="17BB6387"/>
    <w:rsid w:val="17BE2920"/>
    <w:rsid w:val="17BE7C25"/>
    <w:rsid w:val="17C074F9"/>
    <w:rsid w:val="17C11489"/>
    <w:rsid w:val="17C23271"/>
    <w:rsid w:val="17C24FEF"/>
    <w:rsid w:val="17C27715"/>
    <w:rsid w:val="17C3523B"/>
    <w:rsid w:val="17C362B8"/>
    <w:rsid w:val="17C36FE9"/>
    <w:rsid w:val="17C92852"/>
    <w:rsid w:val="17CA481C"/>
    <w:rsid w:val="17CC0594"/>
    <w:rsid w:val="17CC2342"/>
    <w:rsid w:val="17D10D96"/>
    <w:rsid w:val="17D15BAA"/>
    <w:rsid w:val="17D2722C"/>
    <w:rsid w:val="17D33D86"/>
    <w:rsid w:val="17D631C0"/>
    <w:rsid w:val="17D66D1D"/>
    <w:rsid w:val="17D7362C"/>
    <w:rsid w:val="17D80CE7"/>
    <w:rsid w:val="17D82A95"/>
    <w:rsid w:val="17D905BB"/>
    <w:rsid w:val="17D96B2F"/>
    <w:rsid w:val="17DE3E23"/>
    <w:rsid w:val="17DF02C7"/>
    <w:rsid w:val="17DF2075"/>
    <w:rsid w:val="17DF42C5"/>
    <w:rsid w:val="17E21B65"/>
    <w:rsid w:val="17E23913"/>
    <w:rsid w:val="17E56F60"/>
    <w:rsid w:val="17EC02EE"/>
    <w:rsid w:val="17EE050A"/>
    <w:rsid w:val="17EE22B8"/>
    <w:rsid w:val="17EF3C3D"/>
    <w:rsid w:val="17F03046"/>
    <w:rsid w:val="17F11DA8"/>
    <w:rsid w:val="17F13B56"/>
    <w:rsid w:val="17F21810"/>
    <w:rsid w:val="17F3167D"/>
    <w:rsid w:val="17F35B20"/>
    <w:rsid w:val="17F453F5"/>
    <w:rsid w:val="17F66569"/>
    <w:rsid w:val="17F673BF"/>
    <w:rsid w:val="17F72AB1"/>
    <w:rsid w:val="17F81389"/>
    <w:rsid w:val="17F92A0B"/>
    <w:rsid w:val="17F953F1"/>
    <w:rsid w:val="17F97934"/>
    <w:rsid w:val="17FA6EAF"/>
    <w:rsid w:val="17FD51E2"/>
    <w:rsid w:val="17FE3FD4"/>
    <w:rsid w:val="1800023D"/>
    <w:rsid w:val="18001FEB"/>
    <w:rsid w:val="18041ADC"/>
    <w:rsid w:val="1804388A"/>
    <w:rsid w:val="18055854"/>
    <w:rsid w:val="18075128"/>
    <w:rsid w:val="180B10BC"/>
    <w:rsid w:val="180D4CD7"/>
    <w:rsid w:val="181066D2"/>
    <w:rsid w:val="181141F9"/>
    <w:rsid w:val="18131D1F"/>
    <w:rsid w:val="18147845"/>
    <w:rsid w:val="181A30AD"/>
    <w:rsid w:val="181B5077"/>
    <w:rsid w:val="181D0DEF"/>
    <w:rsid w:val="1821268E"/>
    <w:rsid w:val="18221F62"/>
    <w:rsid w:val="1824217E"/>
    <w:rsid w:val="18243F2C"/>
    <w:rsid w:val="18273A1C"/>
    <w:rsid w:val="18277578"/>
    <w:rsid w:val="18285ADF"/>
    <w:rsid w:val="18292D6F"/>
    <w:rsid w:val="18297794"/>
    <w:rsid w:val="182A5635"/>
    <w:rsid w:val="182B350C"/>
    <w:rsid w:val="182B52BA"/>
    <w:rsid w:val="182C41CC"/>
    <w:rsid w:val="182C4B8E"/>
    <w:rsid w:val="182E4DAB"/>
    <w:rsid w:val="182F17B2"/>
    <w:rsid w:val="18343965"/>
    <w:rsid w:val="18371EB1"/>
    <w:rsid w:val="183A374F"/>
    <w:rsid w:val="183C74C7"/>
    <w:rsid w:val="183D0B4A"/>
    <w:rsid w:val="183F12A7"/>
    <w:rsid w:val="18420856"/>
    <w:rsid w:val="18455C50"/>
    <w:rsid w:val="18475E6C"/>
    <w:rsid w:val="18493900"/>
    <w:rsid w:val="184B770B"/>
    <w:rsid w:val="184C3483"/>
    <w:rsid w:val="184C5231"/>
    <w:rsid w:val="184C6FDF"/>
    <w:rsid w:val="18506ACF"/>
    <w:rsid w:val="185145F5"/>
    <w:rsid w:val="185537EF"/>
    <w:rsid w:val="185652D7"/>
    <w:rsid w:val="18575DED"/>
    <w:rsid w:val="18581E27"/>
    <w:rsid w:val="18583BD5"/>
    <w:rsid w:val="185A16FC"/>
    <w:rsid w:val="185A28FB"/>
    <w:rsid w:val="185C36C6"/>
    <w:rsid w:val="185D2F9A"/>
    <w:rsid w:val="18622CA6"/>
    <w:rsid w:val="18624A54"/>
    <w:rsid w:val="18626802"/>
    <w:rsid w:val="186407CC"/>
    <w:rsid w:val="1864257A"/>
    <w:rsid w:val="18664544"/>
    <w:rsid w:val="1869193F"/>
    <w:rsid w:val="18695DE3"/>
    <w:rsid w:val="186A697D"/>
    <w:rsid w:val="186B4263"/>
    <w:rsid w:val="186B56B7"/>
    <w:rsid w:val="186D14F0"/>
    <w:rsid w:val="186E51A7"/>
    <w:rsid w:val="186F4074"/>
    <w:rsid w:val="18714C97"/>
    <w:rsid w:val="18716994"/>
    <w:rsid w:val="18716A45"/>
    <w:rsid w:val="18745314"/>
    <w:rsid w:val="187529D9"/>
    <w:rsid w:val="187546F0"/>
    <w:rsid w:val="18787DD4"/>
    <w:rsid w:val="187D188E"/>
    <w:rsid w:val="187D7B07"/>
    <w:rsid w:val="18811059"/>
    <w:rsid w:val="18812545"/>
    <w:rsid w:val="1881312C"/>
    <w:rsid w:val="18814EDA"/>
    <w:rsid w:val="18820C52"/>
    <w:rsid w:val="1887113B"/>
    <w:rsid w:val="1888270D"/>
    <w:rsid w:val="188C387F"/>
    <w:rsid w:val="188D1AD1"/>
    <w:rsid w:val="188D7D23"/>
    <w:rsid w:val="18904AED"/>
    <w:rsid w:val="18910E95"/>
    <w:rsid w:val="18925339"/>
    <w:rsid w:val="18932E60"/>
    <w:rsid w:val="18934C0E"/>
    <w:rsid w:val="18980476"/>
    <w:rsid w:val="18982224"/>
    <w:rsid w:val="189866C8"/>
    <w:rsid w:val="189D5A8C"/>
    <w:rsid w:val="189F33C8"/>
    <w:rsid w:val="18A1557C"/>
    <w:rsid w:val="18A40BC9"/>
    <w:rsid w:val="18A46E1B"/>
    <w:rsid w:val="18A84B5D"/>
    <w:rsid w:val="18AB01A9"/>
    <w:rsid w:val="18AB1F57"/>
    <w:rsid w:val="18AC5756"/>
    <w:rsid w:val="18AE37F5"/>
    <w:rsid w:val="18AF0FDF"/>
    <w:rsid w:val="18B21538"/>
    <w:rsid w:val="18B232E6"/>
    <w:rsid w:val="18B2778A"/>
    <w:rsid w:val="18B47385"/>
    <w:rsid w:val="18B51028"/>
    <w:rsid w:val="18B54B84"/>
    <w:rsid w:val="18B57F73"/>
    <w:rsid w:val="18B74DA0"/>
    <w:rsid w:val="18B76B4E"/>
    <w:rsid w:val="18B90B18"/>
    <w:rsid w:val="18BA4890"/>
    <w:rsid w:val="18BA580C"/>
    <w:rsid w:val="18BB7AA9"/>
    <w:rsid w:val="18BC4164"/>
    <w:rsid w:val="18BC5F12"/>
    <w:rsid w:val="18BD1C8B"/>
    <w:rsid w:val="18BD6004"/>
    <w:rsid w:val="18BF5A03"/>
    <w:rsid w:val="18C272A1"/>
    <w:rsid w:val="18C63235"/>
    <w:rsid w:val="18C9062F"/>
    <w:rsid w:val="18C96881"/>
    <w:rsid w:val="18CB25F9"/>
    <w:rsid w:val="18D07C10"/>
    <w:rsid w:val="18D23988"/>
    <w:rsid w:val="18D25736"/>
    <w:rsid w:val="18D314AE"/>
    <w:rsid w:val="18D3325C"/>
    <w:rsid w:val="18D35D30"/>
    <w:rsid w:val="18D53478"/>
    <w:rsid w:val="18D55226"/>
    <w:rsid w:val="18D71473"/>
    <w:rsid w:val="18D75B41"/>
    <w:rsid w:val="18DA0A8E"/>
    <w:rsid w:val="18DA283C"/>
    <w:rsid w:val="18DA6CE0"/>
    <w:rsid w:val="18DB1BD5"/>
    <w:rsid w:val="18DE057F"/>
    <w:rsid w:val="18DF60A5"/>
    <w:rsid w:val="18E055CE"/>
    <w:rsid w:val="18E14395"/>
    <w:rsid w:val="18E224B7"/>
    <w:rsid w:val="18E25825"/>
    <w:rsid w:val="18E436BB"/>
    <w:rsid w:val="18E5190D"/>
    <w:rsid w:val="18E65685"/>
    <w:rsid w:val="18E75636"/>
    <w:rsid w:val="18E84F59"/>
    <w:rsid w:val="18ED2938"/>
    <w:rsid w:val="18ED431E"/>
    <w:rsid w:val="18F002B2"/>
    <w:rsid w:val="18F03E0E"/>
    <w:rsid w:val="18F25DD8"/>
    <w:rsid w:val="18F36E6F"/>
    <w:rsid w:val="18F4335B"/>
    <w:rsid w:val="18F733EE"/>
    <w:rsid w:val="18FA2EDF"/>
    <w:rsid w:val="18FC6C57"/>
    <w:rsid w:val="18FC7B0D"/>
    <w:rsid w:val="18FE652B"/>
    <w:rsid w:val="18FF4051"/>
    <w:rsid w:val="18FF6F9E"/>
    <w:rsid w:val="19026764"/>
    <w:rsid w:val="19034A2C"/>
    <w:rsid w:val="19037AF3"/>
    <w:rsid w:val="19037E5E"/>
    <w:rsid w:val="19045B0B"/>
    <w:rsid w:val="190478B9"/>
    <w:rsid w:val="19053D5D"/>
    <w:rsid w:val="190653E0"/>
    <w:rsid w:val="19080281"/>
    <w:rsid w:val="190909D0"/>
    <w:rsid w:val="190B6E9A"/>
    <w:rsid w:val="190E2B30"/>
    <w:rsid w:val="19103753"/>
    <w:rsid w:val="19121FD6"/>
    <w:rsid w:val="1912647A"/>
    <w:rsid w:val="19135D94"/>
    <w:rsid w:val="19153875"/>
    <w:rsid w:val="191E02D6"/>
    <w:rsid w:val="191E097B"/>
    <w:rsid w:val="191E6047"/>
    <w:rsid w:val="19202945"/>
    <w:rsid w:val="19205183"/>
    <w:rsid w:val="19212219"/>
    <w:rsid w:val="19232435"/>
    <w:rsid w:val="19241D0A"/>
    <w:rsid w:val="1925224D"/>
    <w:rsid w:val="19297320"/>
    <w:rsid w:val="192B3098"/>
    <w:rsid w:val="192C54AB"/>
    <w:rsid w:val="192D05B0"/>
    <w:rsid w:val="192D5062"/>
    <w:rsid w:val="192D6E10"/>
    <w:rsid w:val="192E75F5"/>
    <w:rsid w:val="1931131D"/>
    <w:rsid w:val="19314B52"/>
    <w:rsid w:val="19324427"/>
    <w:rsid w:val="1934019F"/>
    <w:rsid w:val="193463F1"/>
    <w:rsid w:val="19371A3D"/>
    <w:rsid w:val="19375EE1"/>
    <w:rsid w:val="19377C8F"/>
    <w:rsid w:val="19393A07"/>
    <w:rsid w:val="193975E7"/>
    <w:rsid w:val="193A489A"/>
    <w:rsid w:val="193A6353"/>
    <w:rsid w:val="193C7053"/>
    <w:rsid w:val="193D73B7"/>
    <w:rsid w:val="193F08F1"/>
    <w:rsid w:val="194303E2"/>
    <w:rsid w:val="194523AC"/>
    <w:rsid w:val="19456052"/>
    <w:rsid w:val="19481E9C"/>
    <w:rsid w:val="194859F8"/>
    <w:rsid w:val="194A5C14"/>
    <w:rsid w:val="194B373A"/>
    <w:rsid w:val="194B7296"/>
    <w:rsid w:val="194D74B2"/>
    <w:rsid w:val="194F322A"/>
    <w:rsid w:val="194F6D87"/>
    <w:rsid w:val="19551028"/>
    <w:rsid w:val="19573E8D"/>
    <w:rsid w:val="1958509D"/>
    <w:rsid w:val="195919B3"/>
    <w:rsid w:val="195963AF"/>
    <w:rsid w:val="195B1BCF"/>
    <w:rsid w:val="195B4EC8"/>
    <w:rsid w:val="195C76F5"/>
    <w:rsid w:val="19600F94"/>
    <w:rsid w:val="19612E6F"/>
    <w:rsid w:val="19636CD6"/>
    <w:rsid w:val="19642A6B"/>
    <w:rsid w:val="196565AA"/>
    <w:rsid w:val="1968609A"/>
    <w:rsid w:val="196A0064"/>
    <w:rsid w:val="196A343C"/>
    <w:rsid w:val="196A3BC0"/>
    <w:rsid w:val="196A68DD"/>
    <w:rsid w:val="196F43D6"/>
    <w:rsid w:val="196F7429"/>
    <w:rsid w:val="19704F4F"/>
    <w:rsid w:val="19706CFD"/>
    <w:rsid w:val="1971007E"/>
    <w:rsid w:val="19713BDF"/>
    <w:rsid w:val="19744A3F"/>
    <w:rsid w:val="197467ED"/>
    <w:rsid w:val="197902A7"/>
    <w:rsid w:val="197B53D3"/>
    <w:rsid w:val="197C5E5D"/>
    <w:rsid w:val="19800C82"/>
    <w:rsid w:val="198253AE"/>
    <w:rsid w:val="19834C82"/>
    <w:rsid w:val="19836A30"/>
    <w:rsid w:val="19856003"/>
    <w:rsid w:val="19867E30"/>
    <w:rsid w:val="19874772"/>
    <w:rsid w:val="19882298"/>
    <w:rsid w:val="198917FF"/>
    <w:rsid w:val="198A6011"/>
    <w:rsid w:val="198D1C77"/>
    <w:rsid w:val="198F1879"/>
    <w:rsid w:val="198F3627"/>
    <w:rsid w:val="1990114D"/>
    <w:rsid w:val="19946E8F"/>
    <w:rsid w:val="19956C86"/>
    <w:rsid w:val="19960E59"/>
    <w:rsid w:val="199649B5"/>
    <w:rsid w:val="1997072D"/>
    <w:rsid w:val="199926F8"/>
    <w:rsid w:val="199944A6"/>
    <w:rsid w:val="19996254"/>
    <w:rsid w:val="199B1FCC"/>
    <w:rsid w:val="19A0084D"/>
    <w:rsid w:val="19A370D2"/>
    <w:rsid w:val="19A8293B"/>
    <w:rsid w:val="19AB6941"/>
    <w:rsid w:val="19AF1F1B"/>
    <w:rsid w:val="19B1359D"/>
    <w:rsid w:val="19B17A41"/>
    <w:rsid w:val="19B250D3"/>
    <w:rsid w:val="19B27315"/>
    <w:rsid w:val="19B60738"/>
    <w:rsid w:val="19B63A54"/>
    <w:rsid w:val="19B63B74"/>
    <w:rsid w:val="19B72B7E"/>
    <w:rsid w:val="19B906A4"/>
    <w:rsid w:val="19B94B48"/>
    <w:rsid w:val="19BB266E"/>
    <w:rsid w:val="19BB441C"/>
    <w:rsid w:val="19BC6185"/>
    <w:rsid w:val="19BD0194"/>
    <w:rsid w:val="19BD21C8"/>
    <w:rsid w:val="19BE3F0C"/>
    <w:rsid w:val="19BF7536"/>
    <w:rsid w:val="19BF76EB"/>
    <w:rsid w:val="19C05549"/>
    <w:rsid w:val="19C06268"/>
    <w:rsid w:val="19C07C84"/>
    <w:rsid w:val="19C31523"/>
    <w:rsid w:val="19C57049"/>
    <w:rsid w:val="19C72DC1"/>
    <w:rsid w:val="19C808E7"/>
    <w:rsid w:val="19CC6629"/>
    <w:rsid w:val="19CD710A"/>
    <w:rsid w:val="19D13C3F"/>
    <w:rsid w:val="19D159ED"/>
    <w:rsid w:val="19D43730"/>
    <w:rsid w:val="19D61256"/>
    <w:rsid w:val="19D83220"/>
    <w:rsid w:val="19D84FCE"/>
    <w:rsid w:val="19D90D46"/>
    <w:rsid w:val="19D96F98"/>
    <w:rsid w:val="19DC3C64"/>
    <w:rsid w:val="19DC4392"/>
    <w:rsid w:val="19DE010A"/>
    <w:rsid w:val="19DE635C"/>
    <w:rsid w:val="19E25E4D"/>
    <w:rsid w:val="19E32A71"/>
    <w:rsid w:val="19E5593D"/>
    <w:rsid w:val="19E75211"/>
    <w:rsid w:val="19EC0A79"/>
    <w:rsid w:val="19EC6CCB"/>
    <w:rsid w:val="19ED2D17"/>
    <w:rsid w:val="19ED659F"/>
    <w:rsid w:val="19EE2A43"/>
    <w:rsid w:val="19F3005A"/>
    <w:rsid w:val="19F33BB6"/>
    <w:rsid w:val="19F4792E"/>
    <w:rsid w:val="19F53DD2"/>
    <w:rsid w:val="19F618F8"/>
    <w:rsid w:val="19F811CC"/>
    <w:rsid w:val="19FB2A6A"/>
    <w:rsid w:val="19FB6F0E"/>
    <w:rsid w:val="19FD67E3"/>
    <w:rsid w:val="19FE7778"/>
    <w:rsid w:val="1A051B3B"/>
    <w:rsid w:val="1A055E0A"/>
    <w:rsid w:val="1A0C4C78"/>
    <w:rsid w:val="1A0D4AD8"/>
    <w:rsid w:val="1A0E50CF"/>
    <w:rsid w:val="1A0E6C42"/>
    <w:rsid w:val="1A0F7B3F"/>
    <w:rsid w:val="1A11228E"/>
    <w:rsid w:val="1A116732"/>
    <w:rsid w:val="1A134258"/>
    <w:rsid w:val="1A1558FF"/>
    <w:rsid w:val="1A1A3838"/>
    <w:rsid w:val="1A1B0030"/>
    <w:rsid w:val="1A1D50D7"/>
    <w:rsid w:val="1A1E49AB"/>
    <w:rsid w:val="1A2024D1"/>
    <w:rsid w:val="1A204BC7"/>
    <w:rsid w:val="1A206975"/>
    <w:rsid w:val="1A2226ED"/>
    <w:rsid w:val="1A22281A"/>
    <w:rsid w:val="1A226249"/>
    <w:rsid w:val="1A240213"/>
    <w:rsid w:val="1A241393"/>
    <w:rsid w:val="1A2570E8"/>
    <w:rsid w:val="1A275C64"/>
    <w:rsid w:val="1A295829"/>
    <w:rsid w:val="1A2975D8"/>
    <w:rsid w:val="1A2A15A2"/>
    <w:rsid w:val="1A2C0FB5"/>
    <w:rsid w:val="1A312930"/>
    <w:rsid w:val="1A32038A"/>
    <w:rsid w:val="1A324E27"/>
    <w:rsid w:val="1A332204"/>
    <w:rsid w:val="1A3413A4"/>
    <w:rsid w:val="1A3441CE"/>
    <w:rsid w:val="1A345F7C"/>
    <w:rsid w:val="1A361CF4"/>
    <w:rsid w:val="1A393593"/>
    <w:rsid w:val="1A3E5F99"/>
    <w:rsid w:val="1A3F504D"/>
    <w:rsid w:val="1A400DC5"/>
    <w:rsid w:val="1A4245C3"/>
    <w:rsid w:val="1A442663"/>
    <w:rsid w:val="1A450189"/>
    <w:rsid w:val="1A46462D"/>
    <w:rsid w:val="1A497C7A"/>
    <w:rsid w:val="1A4D518E"/>
    <w:rsid w:val="1A5003B0"/>
    <w:rsid w:val="1A530AF8"/>
    <w:rsid w:val="1A535C16"/>
    <w:rsid w:val="1A5403CD"/>
    <w:rsid w:val="1A554F3D"/>
    <w:rsid w:val="1A584361"/>
    <w:rsid w:val="1A5D54D3"/>
    <w:rsid w:val="1A5F56EF"/>
    <w:rsid w:val="1A633C55"/>
    <w:rsid w:val="1A643763"/>
    <w:rsid w:val="1A646862"/>
    <w:rsid w:val="1A654388"/>
    <w:rsid w:val="1A6920CA"/>
    <w:rsid w:val="1A692D3D"/>
    <w:rsid w:val="1A6B5E42"/>
    <w:rsid w:val="1A6C1BBA"/>
    <w:rsid w:val="1A6C3968"/>
    <w:rsid w:val="1A6E0D68"/>
    <w:rsid w:val="1A6F1C09"/>
    <w:rsid w:val="1A7171D0"/>
    <w:rsid w:val="1A7647E7"/>
    <w:rsid w:val="1A766595"/>
    <w:rsid w:val="1A7867B1"/>
    <w:rsid w:val="1A7A42D7"/>
    <w:rsid w:val="1A7A58E5"/>
    <w:rsid w:val="1A7D3DC7"/>
    <w:rsid w:val="1A7F1CED"/>
    <w:rsid w:val="1A8011C2"/>
    <w:rsid w:val="1A815802"/>
    <w:rsid w:val="1A8213DE"/>
    <w:rsid w:val="1A842ED3"/>
    <w:rsid w:val="1A845156"/>
    <w:rsid w:val="1A846F04"/>
    <w:rsid w:val="1A864A2A"/>
    <w:rsid w:val="1A89182A"/>
    <w:rsid w:val="1A8A3DEE"/>
    <w:rsid w:val="1A8E7D82"/>
    <w:rsid w:val="1A9058A9"/>
    <w:rsid w:val="1A9544D2"/>
    <w:rsid w:val="1A954C6D"/>
    <w:rsid w:val="1A9609E5"/>
    <w:rsid w:val="1A966A95"/>
    <w:rsid w:val="1A98475D"/>
    <w:rsid w:val="1A9C424D"/>
    <w:rsid w:val="1A9C5527"/>
    <w:rsid w:val="1A9C791D"/>
    <w:rsid w:val="1A9E7E47"/>
    <w:rsid w:val="1A9F5AEC"/>
    <w:rsid w:val="1AA11864"/>
    <w:rsid w:val="1AA1530A"/>
    <w:rsid w:val="1AA2738A"/>
    <w:rsid w:val="1AA41354"/>
    <w:rsid w:val="1AA43102"/>
    <w:rsid w:val="1AA43CB9"/>
    <w:rsid w:val="1AA475A6"/>
    <w:rsid w:val="1AA9696A"/>
    <w:rsid w:val="1AAB244B"/>
    <w:rsid w:val="1AAB4490"/>
    <w:rsid w:val="1AAD4D6B"/>
    <w:rsid w:val="1AAD6307"/>
    <w:rsid w:val="1AAE35AE"/>
    <w:rsid w:val="1AAE5D2F"/>
    <w:rsid w:val="1AAE793C"/>
    <w:rsid w:val="1AB0225C"/>
    <w:rsid w:val="1AB44E86"/>
    <w:rsid w:val="1AB53561"/>
    <w:rsid w:val="1AB5530F"/>
    <w:rsid w:val="1AB65F16"/>
    <w:rsid w:val="1AB71087"/>
    <w:rsid w:val="1AB772D9"/>
    <w:rsid w:val="1AB8095B"/>
    <w:rsid w:val="1AB86BAD"/>
    <w:rsid w:val="1AB91166"/>
    <w:rsid w:val="1ABA0AB0"/>
    <w:rsid w:val="1ABA0B77"/>
    <w:rsid w:val="1ABD2416"/>
    <w:rsid w:val="1ABD41C4"/>
    <w:rsid w:val="1ABD5F72"/>
    <w:rsid w:val="1ABE4E06"/>
    <w:rsid w:val="1ABF1CEA"/>
    <w:rsid w:val="1ABF7F3C"/>
    <w:rsid w:val="1AC15A62"/>
    <w:rsid w:val="1AC25B01"/>
    <w:rsid w:val="1AC47300"/>
    <w:rsid w:val="1AC474F7"/>
    <w:rsid w:val="1AC612CA"/>
    <w:rsid w:val="1AC75042"/>
    <w:rsid w:val="1AC90DBB"/>
    <w:rsid w:val="1AC92B69"/>
    <w:rsid w:val="1ACB68E1"/>
    <w:rsid w:val="1ACB6E64"/>
    <w:rsid w:val="1ACC1784"/>
    <w:rsid w:val="1ACC4407"/>
    <w:rsid w:val="1AD0039B"/>
    <w:rsid w:val="1AD432DB"/>
    <w:rsid w:val="1AD52321"/>
    <w:rsid w:val="1AD559B1"/>
    <w:rsid w:val="1AD75407"/>
    <w:rsid w:val="1AD86198"/>
    <w:rsid w:val="1ADC289C"/>
    <w:rsid w:val="1ADE294C"/>
    <w:rsid w:val="1ADF413A"/>
    <w:rsid w:val="1AE23C2A"/>
    <w:rsid w:val="1AE259D8"/>
    <w:rsid w:val="1AE43EB9"/>
    <w:rsid w:val="1AE45BF4"/>
    <w:rsid w:val="1AE8166C"/>
    <w:rsid w:val="1AE92CAB"/>
    <w:rsid w:val="1AEA675D"/>
    <w:rsid w:val="1AEC6857"/>
    <w:rsid w:val="1AF2200F"/>
    <w:rsid w:val="1AF37BE5"/>
    <w:rsid w:val="1AF51BB0"/>
    <w:rsid w:val="1AF520D1"/>
    <w:rsid w:val="1AF5570C"/>
    <w:rsid w:val="1AF71484"/>
    <w:rsid w:val="1AF75928"/>
    <w:rsid w:val="1AF776D6"/>
    <w:rsid w:val="1AF96485"/>
    <w:rsid w:val="1AFC2F3E"/>
    <w:rsid w:val="1AFC4CEC"/>
    <w:rsid w:val="1AFE6CB6"/>
    <w:rsid w:val="1AFF2A2E"/>
    <w:rsid w:val="1B010554"/>
    <w:rsid w:val="1B02285F"/>
    <w:rsid w:val="1B0342CC"/>
    <w:rsid w:val="1B043BA1"/>
    <w:rsid w:val="1B063DBD"/>
    <w:rsid w:val="1B065B6B"/>
    <w:rsid w:val="1B067919"/>
    <w:rsid w:val="1B083691"/>
    <w:rsid w:val="1B0911B7"/>
    <w:rsid w:val="1B0B373B"/>
    <w:rsid w:val="1B0D514B"/>
    <w:rsid w:val="1B0E45B3"/>
    <w:rsid w:val="1B0E4A1F"/>
    <w:rsid w:val="1B0F0EC3"/>
    <w:rsid w:val="1B0F63F2"/>
    <w:rsid w:val="1B100797"/>
    <w:rsid w:val="1B102545"/>
    <w:rsid w:val="1B122762"/>
    <w:rsid w:val="1B140288"/>
    <w:rsid w:val="1B14057B"/>
    <w:rsid w:val="1B1464DA"/>
    <w:rsid w:val="1B15245C"/>
    <w:rsid w:val="1B154000"/>
    <w:rsid w:val="1B184ECE"/>
    <w:rsid w:val="1B193AF0"/>
    <w:rsid w:val="1B1A33C4"/>
    <w:rsid w:val="1B1A7868"/>
    <w:rsid w:val="1B1C713C"/>
    <w:rsid w:val="1B1F6C2C"/>
    <w:rsid w:val="1B214753"/>
    <w:rsid w:val="1B222279"/>
    <w:rsid w:val="1B23480E"/>
    <w:rsid w:val="1B244243"/>
    <w:rsid w:val="1B252495"/>
    <w:rsid w:val="1B291859"/>
    <w:rsid w:val="1B2A7AAB"/>
    <w:rsid w:val="1B2B3823"/>
    <w:rsid w:val="1B2C3630"/>
    <w:rsid w:val="1B2C6201"/>
    <w:rsid w:val="1B322765"/>
    <w:rsid w:val="1B324BB2"/>
    <w:rsid w:val="1B324C57"/>
    <w:rsid w:val="1B334486"/>
    <w:rsid w:val="1B351FAC"/>
    <w:rsid w:val="1B3721C8"/>
    <w:rsid w:val="1B373F96"/>
    <w:rsid w:val="1B397C3B"/>
    <w:rsid w:val="1B3A3A66"/>
    <w:rsid w:val="1B3B1CB8"/>
    <w:rsid w:val="1B3E3557"/>
    <w:rsid w:val="1B4117FA"/>
    <w:rsid w:val="1B4147A3"/>
    <w:rsid w:val="1B430B6D"/>
    <w:rsid w:val="1B4346C9"/>
    <w:rsid w:val="1B440441"/>
    <w:rsid w:val="1B4545CD"/>
    <w:rsid w:val="1B4548E5"/>
    <w:rsid w:val="1B4641B9"/>
    <w:rsid w:val="1B486183"/>
    <w:rsid w:val="1B487F31"/>
    <w:rsid w:val="1B4A1EFB"/>
    <w:rsid w:val="1B4B17D0"/>
    <w:rsid w:val="1B4D6C7B"/>
    <w:rsid w:val="1B527002"/>
    <w:rsid w:val="1B530684"/>
    <w:rsid w:val="1B544B28"/>
    <w:rsid w:val="1B5543FC"/>
    <w:rsid w:val="1B574618"/>
    <w:rsid w:val="1B577DA2"/>
    <w:rsid w:val="1B5865B3"/>
    <w:rsid w:val="1B590390"/>
    <w:rsid w:val="1B5C39DD"/>
    <w:rsid w:val="1B612DA1"/>
    <w:rsid w:val="1B6331B7"/>
    <w:rsid w:val="1B636B19"/>
    <w:rsid w:val="1B642891"/>
    <w:rsid w:val="1B652E0B"/>
    <w:rsid w:val="1B66485B"/>
    <w:rsid w:val="1B6805D3"/>
    <w:rsid w:val="1B684130"/>
    <w:rsid w:val="1B6A434C"/>
    <w:rsid w:val="1B6A60FA"/>
    <w:rsid w:val="1B6B1E72"/>
    <w:rsid w:val="1B6B3C20"/>
    <w:rsid w:val="1B6D5BEA"/>
    <w:rsid w:val="1B6F0B84"/>
    <w:rsid w:val="1B6F1962"/>
    <w:rsid w:val="1B6F54BE"/>
    <w:rsid w:val="1B7075B6"/>
    <w:rsid w:val="1B734D5C"/>
    <w:rsid w:val="1B746F78"/>
    <w:rsid w:val="1B762CF0"/>
    <w:rsid w:val="1B7927E1"/>
    <w:rsid w:val="1B7B0307"/>
    <w:rsid w:val="1B7C407F"/>
    <w:rsid w:val="1B7E7DF7"/>
    <w:rsid w:val="1B80591D"/>
    <w:rsid w:val="1B8076CB"/>
    <w:rsid w:val="1B811695"/>
    <w:rsid w:val="1B811858"/>
    <w:rsid w:val="1B835D4B"/>
    <w:rsid w:val="1B8371BB"/>
    <w:rsid w:val="1B882A24"/>
    <w:rsid w:val="1B8847D2"/>
    <w:rsid w:val="1B903686"/>
    <w:rsid w:val="1B965141"/>
    <w:rsid w:val="1B966EEF"/>
    <w:rsid w:val="1B970EB9"/>
    <w:rsid w:val="1B974A15"/>
    <w:rsid w:val="1B99078D"/>
    <w:rsid w:val="1B99253B"/>
    <w:rsid w:val="1B9C1031"/>
    <w:rsid w:val="1B9C64CF"/>
    <w:rsid w:val="1B9D1AF2"/>
    <w:rsid w:val="1B9E2247"/>
    <w:rsid w:val="1B9E5DA3"/>
    <w:rsid w:val="1B9F38C9"/>
    <w:rsid w:val="1B9F3AB2"/>
    <w:rsid w:val="1BA17641"/>
    <w:rsid w:val="1BA2295D"/>
    <w:rsid w:val="1BA37C6B"/>
    <w:rsid w:val="1BAB0A8A"/>
    <w:rsid w:val="1BAB226E"/>
    <w:rsid w:val="1BAC5F55"/>
    <w:rsid w:val="1BAF1D5E"/>
    <w:rsid w:val="1BB2184F"/>
    <w:rsid w:val="1BB630ED"/>
    <w:rsid w:val="1BB67591"/>
    <w:rsid w:val="1BB76E65"/>
    <w:rsid w:val="1BBB4BA7"/>
    <w:rsid w:val="1BBB6955"/>
    <w:rsid w:val="1BBB7479"/>
    <w:rsid w:val="1BBD091F"/>
    <w:rsid w:val="1BBE1FA1"/>
    <w:rsid w:val="1BC51582"/>
    <w:rsid w:val="1BC7354C"/>
    <w:rsid w:val="1BC77B3D"/>
    <w:rsid w:val="1BC872C4"/>
    <w:rsid w:val="1BCA2744"/>
    <w:rsid w:val="1BCA2C1F"/>
    <w:rsid w:val="1BCD6688"/>
    <w:rsid w:val="1BCF41AF"/>
    <w:rsid w:val="1BD17F27"/>
    <w:rsid w:val="1BD712B5"/>
    <w:rsid w:val="1BD96DDB"/>
    <w:rsid w:val="1BDB2463"/>
    <w:rsid w:val="1BDD4B1E"/>
    <w:rsid w:val="1BDE43F2"/>
    <w:rsid w:val="1BE22134"/>
    <w:rsid w:val="1BE22336"/>
    <w:rsid w:val="1BE55780"/>
    <w:rsid w:val="1BE60CB7"/>
    <w:rsid w:val="1BE614F8"/>
    <w:rsid w:val="1BE7687B"/>
    <w:rsid w:val="1BE834C2"/>
    <w:rsid w:val="1BE8760C"/>
    <w:rsid w:val="1BE96AFB"/>
    <w:rsid w:val="1BEA548C"/>
    <w:rsid w:val="1BEC2FB3"/>
    <w:rsid w:val="1BEF65FF"/>
    <w:rsid w:val="1BF14125"/>
    <w:rsid w:val="1BF34341"/>
    <w:rsid w:val="1BF43C15"/>
    <w:rsid w:val="1BF754B3"/>
    <w:rsid w:val="1BF7797D"/>
    <w:rsid w:val="1BF81957"/>
    <w:rsid w:val="1BF9122C"/>
    <w:rsid w:val="1BF956CF"/>
    <w:rsid w:val="1BFC3D8A"/>
    <w:rsid w:val="1BFD0D1C"/>
    <w:rsid w:val="1BFD6F6E"/>
    <w:rsid w:val="1BFE2CE6"/>
    <w:rsid w:val="1C0025BA"/>
    <w:rsid w:val="1C026332"/>
    <w:rsid w:val="1C055E22"/>
    <w:rsid w:val="1C057BD0"/>
    <w:rsid w:val="1C071B9A"/>
    <w:rsid w:val="1C080C3D"/>
    <w:rsid w:val="1C081480"/>
    <w:rsid w:val="1C0954E1"/>
    <w:rsid w:val="1C0A168B"/>
    <w:rsid w:val="1C0C026A"/>
    <w:rsid w:val="1C0C5403"/>
    <w:rsid w:val="1C0D4CD7"/>
    <w:rsid w:val="1C0E21DE"/>
    <w:rsid w:val="1C112A19"/>
    <w:rsid w:val="1C1222ED"/>
    <w:rsid w:val="1C136791"/>
    <w:rsid w:val="1C142509"/>
    <w:rsid w:val="1C146065"/>
    <w:rsid w:val="1C16002F"/>
    <w:rsid w:val="1C166281"/>
    <w:rsid w:val="1C185B56"/>
    <w:rsid w:val="1C19367C"/>
    <w:rsid w:val="1C1B5646"/>
    <w:rsid w:val="1C1B73F4"/>
    <w:rsid w:val="1C207072"/>
    <w:rsid w:val="1C232085"/>
    <w:rsid w:val="1C2362A8"/>
    <w:rsid w:val="1C236647"/>
    <w:rsid w:val="1C24274C"/>
    <w:rsid w:val="1C276B8E"/>
    <w:rsid w:val="1C2C33AF"/>
    <w:rsid w:val="1C316C17"/>
    <w:rsid w:val="1C330F36"/>
    <w:rsid w:val="1C33473D"/>
    <w:rsid w:val="1C3404B6"/>
    <w:rsid w:val="1C365FDC"/>
    <w:rsid w:val="1C3861F8"/>
    <w:rsid w:val="1C387FA6"/>
    <w:rsid w:val="1C3B1844"/>
    <w:rsid w:val="1C3B5CE8"/>
    <w:rsid w:val="1C3D736A"/>
    <w:rsid w:val="1C3E30E2"/>
    <w:rsid w:val="1C3E5861"/>
    <w:rsid w:val="1C3F578D"/>
    <w:rsid w:val="1C4015CF"/>
    <w:rsid w:val="1C4049E1"/>
    <w:rsid w:val="1C406E5A"/>
    <w:rsid w:val="1C4133A8"/>
    <w:rsid w:val="1C415954"/>
    <w:rsid w:val="1C420E24"/>
    <w:rsid w:val="1C444B9D"/>
    <w:rsid w:val="1C4526C3"/>
    <w:rsid w:val="1C454471"/>
    <w:rsid w:val="1C4921B3"/>
    <w:rsid w:val="1C4A1A87"/>
    <w:rsid w:val="1C4A6833"/>
    <w:rsid w:val="1C4B7F3D"/>
    <w:rsid w:val="1C4C3A51"/>
    <w:rsid w:val="1C4E1577"/>
    <w:rsid w:val="1C4E2785"/>
    <w:rsid w:val="1C4E5A1B"/>
    <w:rsid w:val="1C4E71BE"/>
    <w:rsid w:val="1C4F50A5"/>
    <w:rsid w:val="1C511068"/>
    <w:rsid w:val="1C512E16"/>
    <w:rsid w:val="1C5172BA"/>
    <w:rsid w:val="1C527C03"/>
    <w:rsid w:val="1C533032"/>
    <w:rsid w:val="1C5446B4"/>
    <w:rsid w:val="1C550B58"/>
    <w:rsid w:val="1C5A38F9"/>
    <w:rsid w:val="1C5A616E"/>
    <w:rsid w:val="1C5B3C94"/>
    <w:rsid w:val="1C5D5C5E"/>
    <w:rsid w:val="1C5D7A0C"/>
    <w:rsid w:val="1C5E0883"/>
    <w:rsid w:val="1C5E4627"/>
    <w:rsid w:val="1C5F19D6"/>
    <w:rsid w:val="1C5F3784"/>
    <w:rsid w:val="1C623275"/>
    <w:rsid w:val="1C640D9B"/>
    <w:rsid w:val="1C654B13"/>
    <w:rsid w:val="1C6714C6"/>
    <w:rsid w:val="1C6A3ED7"/>
    <w:rsid w:val="1C6B037B"/>
    <w:rsid w:val="1C6B4699"/>
    <w:rsid w:val="1C6C2EAA"/>
    <w:rsid w:val="1C710E65"/>
    <w:rsid w:val="1C7237A6"/>
    <w:rsid w:val="1C730FDE"/>
    <w:rsid w:val="1C744D56"/>
    <w:rsid w:val="1C766D20"/>
    <w:rsid w:val="1C782A98"/>
    <w:rsid w:val="1C7859F2"/>
    <w:rsid w:val="1C7B4336"/>
    <w:rsid w:val="1C7D3C0B"/>
    <w:rsid w:val="1C7F15B3"/>
    <w:rsid w:val="1C7F5BD5"/>
    <w:rsid w:val="1C8101E5"/>
    <w:rsid w:val="1C821221"/>
    <w:rsid w:val="1C844F99"/>
    <w:rsid w:val="1C856F63"/>
    <w:rsid w:val="1C8651B5"/>
    <w:rsid w:val="1C895236"/>
    <w:rsid w:val="1C8B0F3C"/>
    <w:rsid w:val="1C8D0286"/>
    <w:rsid w:val="1C8D6788"/>
    <w:rsid w:val="1C9123A9"/>
    <w:rsid w:val="1C92116A"/>
    <w:rsid w:val="1C940F54"/>
    <w:rsid w:val="1C947772"/>
    <w:rsid w:val="1C9553F8"/>
    <w:rsid w:val="1C962F1E"/>
    <w:rsid w:val="1C980A44"/>
    <w:rsid w:val="1C99656B"/>
    <w:rsid w:val="1C9D42AD"/>
    <w:rsid w:val="1CA034BD"/>
    <w:rsid w:val="1CA122D1"/>
    <w:rsid w:val="1CA218C3"/>
    <w:rsid w:val="1CA301E4"/>
    <w:rsid w:val="1CA53161"/>
    <w:rsid w:val="1CA64228"/>
    <w:rsid w:val="1CA94A00"/>
    <w:rsid w:val="1CAA0778"/>
    <w:rsid w:val="1CAB1D11"/>
    <w:rsid w:val="1CAB69CA"/>
    <w:rsid w:val="1CAE0268"/>
    <w:rsid w:val="1CAE64BA"/>
    <w:rsid w:val="1CAF6F51"/>
    <w:rsid w:val="1CB33AD0"/>
    <w:rsid w:val="1CB6536F"/>
    <w:rsid w:val="1CB6711D"/>
    <w:rsid w:val="1CB82E95"/>
    <w:rsid w:val="1CB87339"/>
    <w:rsid w:val="1CBA6C35"/>
    <w:rsid w:val="1CBB2985"/>
    <w:rsid w:val="1CBC0BD7"/>
    <w:rsid w:val="1CBE3199"/>
    <w:rsid w:val="1CBF2475"/>
    <w:rsid w:val="1CBF4223"/>
    <w:rsid w:val="1CC01D49"/>
    <w:rsid w:val="1CC161ED"/>
    <w:rsid w:val="1CC25AC1"/>
    <w:rsid w:val="1CC41839"/>
    <w:rsid w:val="1CC61A56"/>
    <w:rsid w:val="1CC730D8"/>
    <w:rsid w:val="1CC7757C"/>
    <w:rsid w:val="1CC82F84"/>
    <w:rsid w:val="1CCB2BC8"/>
    <w:rsid w:val="1CCB706C"/>
    <w:rsid w:val="1CCE4466"/>
    <w:rsid w:val="1CD12E20"/>
    <w:rsid w:val="1CD35F20"/>
    <w:rsid w:val="1CD46F6C"/>
    <w:rsid w:val="1CD53A47"/>
    <w:rsid w:val="1CD777BF"/>
    <w:rsid w:val="1CD852E5"/>
    <w:rsid w:val="1CDA72AF"/>
    <w:rsid w:val="1CE04199"/>
    <w:rsid w:val="1CE05C7B"/>
    <w:rsid w:val="1CE27F12"/>
    <w:rsid w:val="1CE43C8A"/>
    <w:rsid w:val="1CE86381"/>
    <w:rsid w:val="1CE912A0"/>
    <w:rsid w:val="1CED6FE2"/>
    <w:rsid w:val="1CEE2D5A"/>
    <w:rsid w:val="1CF00880"/>
    <w:rsid w:val="1CF60711"/>
    <w:rsid w:val="1CF85987"/>
    <w:rsid w:val="1CF90066"/>
    <w:rsid w:val="1CFC7225"/>
    <w:rsid w:val="1CFD2F9D"/>
    <w:rsid w:val="1CFD4D4B"/>
    <w:rsid w:val="1CFE11EF"/>
    <w:rsid w:val="1CFF0AC4"/>
    <w:rsid w:val="1CFF1447"/>
    <w:rsid w:val="1D033BA9"/>
    <w:rsid w:val="1D062764"/>
    <w:rsid w:val="1D085BCA"/>
    <w:rsid w:val="1D0936F0"/>
    <w:rsid w:val="1D0B25E5"/>
    <w:rsid w:val="1D0B56BA"/>
    <w:rsid w:val="1D0D3DDA"/>
    <w:rsid w:val="1D0D796C"/>
    <w:rsid w:val="1D0E0D07"/>
    <w:rsid w:val="1D1327C1"/>
    <w:rsid w:val="1D13631D"/>
    <w:rsid w:val="1D137EB6"/>
    <w:rsid w:val="1D1735F7"/>
    <w:rsid w:val="1D17405F"/>
    <w:rsid w:val="1D181B85"/>
    <w:rsid w:val="1D187DD7"/>
    <w:rsid w:val="1D1A58FD"/>
    <w:rsid w:val="1D1A7363"/>
    <w:rsid w:val="1D1E53EE"/>
    <w:rsid w:val="1D1F4CC2"/>
    <w:rsid w:val="1D207523"/>
    <w:rsid w:val="1D216C8C"/>
    <w:rsid w:val="1D2247B2"/>
    <w:rsid w:val="1D230C56"/>
    <w:rsid w:val="1D24052A"/>
    <w:rsid w:val="1D2642A2"/>
    <w:rsid w:val="1D266050"/>
    <w:rsid w:val="1D271DC8"/>
    <w:rsid w:val="1D28001A"/>
    <w:rsid w:val="1D2D3883"/>
    <w:rsid w:val="1D2D73DF"/>
    <w:rsid w:val="1D2F37BB"/>
    <w:rsid w:val="1D3369BF"/>
    <w:rsid w:val="1D352737"/>
    <w:rsid w:val="1D37025D"/>
    <w:rsid w:val="1D3A1AFC"/>
    <w:rsid w:val="1D3C55BB"/>
    <w:rsid w:val="1D3D6A4B"/>
    <w:rsid w:val="1D3E7EDB"/>
    <w:rsid w:val="1D41685C"/>
    <w:rsid w:val="1D4247B4"/>
    <w:rsid w:val="1D436C02"/>
    <w:rsid w:val="1D440BCC"/>
    <w:rsid w:val="1D445EF1"/>
    <w:rsid w:val="1D4666F2"/>
    <w:rsid w:val="1D491D3F"/>
    <w:rsid w:val="1D4B5AB7"/>
    <w:rsid w:val="1D4C4F9D"/>
    <w:rsid w:val="1D4C7A82"/>
    <w:rsid w:val="1D4F1A4B"/>
    <w:rsid w:val="1D5042C5"/>
    <w:rsid w:val="1D5412D8"/>
    <w:rsid w:val="1D552DD9"/>
    <w:rsid w:val="1D561137"/>
    <w:rsid w:val="1D5978A1"/>
    <w:rsid w:val="1D5A219E"/>
    <w:rsid w:val="1D5B7403"/>
    <w:rsid w:val="1D5C5F16"/>
    <w:rsid w:val="1D5E1C8E"/>
    <w:rsid w:val="1D5E3A3C"/>
    <w:rsid w:val="1D5F1562"/>
    <w:rsid w:val="1D5F77B4"/>
    <w:rsid w:val="1D6272D6"/>
    <w:rsid w:val="1D632E00"/>
    <w:rsid w:val="1D6372A4"/>
    <w:rsid w:val="1D6628F1"/>
    <w:rsid w:val="1D6848BB"/>
    <w:rsid w:val="1D69418F"/>
    <w:rsid w:val="1D6B6159"/>
    <w:rsid w:val="1D6B7F07"/>
    <w:rsid w:val="1D6D3C7F"/>
    <w:rsid w:val="1D6F3E9B"/>
    <w:rsid w:val="1D725739"/>
    <w:rsid w:val="1D74500E"/>
    <w:rsid w:val="1D76522A"/>
    <w:rsid w:val="1D7814FC"/>
    <w:rsid w:val="1D7C0366"/>
    <w:rsid w:val="1D7E40DE"/>
    <w:rsid w:val="1D7F39B2"/>
    <w:rsid w:val="1D8316F5"/>
    <w:rsid w:val="1D835251"/>
    <w:rsid w:val="1D852670"/>
    <w:rsid w:val="1D856CFB"/>
    <w:rsid w:val="1D880AB9"/>
    <w:rsid w:val="1D884F5D"/>
    <w:rsid w:val="1D8C0B17"/>
    <w:rsid w:val="1D905BC0"/>
    <w:rsid w:val="1D921938"/>
    <w:rsid w:val="1D9236E6"/>
    <w:rsid w:val="1D954F84"/>
    <w:rsid w:val="1D96549F"/>
    <w:rsid w:val="1D9847C6"/>
    <w:rsid w:val="1D992CC6"/>
    <w:rsid w:val="1D9B59B9"/>
    <w:rsid w:val="1D9C6312"/>
    <w:rsid w:val="1D9E02DC"/>
    <w:rsid w:val="1D9E652E"/>
    <w:rsid w:val="1DA17DCD"/>
    <w:rsid w:val="1DA358F3"/>
    <w:rsid w:val="1DA578BD"/>
    <w:rsid w:val="1DA63635"/>
    <w:rsid w:val="1DA84CB7"/>
    <w:rsid w:val="1DA9032A"/>
    <w:rsid w:val="1DAA4ED3"/>
    <w:rsid w:val="1DAB29F9"/>
    <w:rsid w:val="1DAB47A7"/>
    <w:rsid w:val="1DAD49C3"/>
    <w:rsid w:val="1DAF4298"/>
    <w:rsid w:val="1DAF58DD"/>
    <w:rsid w:val="1DAF6046"/>
    <w:rsid w:val="1DB01DBE"/>
    <w:rsid w:val="1DB16262"/>
    <w:rsid w:val="1DB21FDA"/>
    <w:rsid w:val="1DB32F8D"/>
    <w:rsid w:val="1DB4365C"/>
    <w:rsid w:val="1DB61906"/>
    <w:rsid w:val="1DB63878"/>
    <w:rsid w:val="1DB7314C"/>
    <w:rsid w:val="1DB775F0"/>
    <w:rsid w:val="1DB96EC4"/>
    <w:rsid w:val="1DBC69B5"/>
    <w:rsid w:val="1DC00253"/>
    <w:rsid w:val="1DC006F0"/>
    <w:rsid w:val="1DC1221D"/>
    <w:rsid w:val="1DC15D79"/>
    <w:rsid w:val="1DC31AF1"/>
    <w:rsid w:val="1DC71EC2"/>
    <w:rsid w:val="1DC75A85"/>
    <w:rsid w:val="1DC835AB"/>
    <w:rsid w:val="1DC87107"/>
    <w:rsid w:val="1DCA2E80"/>
    <w:rsid w:val="1DCD471E"/>
    <w:rsid w:val="1DCF493A"/>
    <w:rsid w:val="1DCF66E8"/>
    <w:rsid w:val="1DD43CFE"/>
    <w:rsid w:val="1DD618BD"/>
    <w:rsid w:val="1DD67A76"/>
    <w:rsid w:val="1DD942EA"/>
    <w:rsid w:val="1DD957B9"/>
    <w:rsid w:val="1DD95CC8"/>
    <w:rsid w:val="1DDB5C55"/>
    <w:rsid w:val="1DDE4B7D"/>
    <w:rsid w:val="1DDF410F"/>
    <w:rsid w:val="1DDF7C04"/>
    <w:rsid w:val="1DE11D1C"/>
    <w:rsid w:val="1DE303E5"/>
    <w:rsid w:val="1DE32193"/>
    <w:rsid w:val="1DE33F41"/>
    <w:rsid w:val="1DE43C6F"/>
    <w:rsid w:val="1DE57CB9"/>
    <w:rsid w:val="1DE859FC"/>
    <w:rsid w:val="1DED3012"/>
    <w:rsid w:val="1DEF28E6"/>
    <w:rsid w:val="1DF148B0"/>
    <w:rsid w:val="1DF47EFC"/>
    <w:rsid w:val="1DF60118"/>
    <w:rsid w:val="1DF61EC7"/>
    <w:rsid w:val="1DF64EF3"/>
    <w:rsid w:val="1DFB128B"/>
    <w:rsid w:val="1DFE521F"/>
    <w:rsid w:val="1DFE6FCD"/>
    <w:rsid w:val="1DFF1124"/>
    <w:rsid w:val="1E021CD3"/>
    <w:rsid w:val="1E0349E4"/>
    <w:rsid w:val="1E075E82"/>
    <w:rsid w:val="1E081852"/>
    <w:rsid w:val="1E0A3BC4"/>
    <w:rsid w:val="1E0C1593"/>
    <w:rsid w:val="1E0C793C"/>
    <w:rsid w:val="1E0F4D36"/>
    <w:rsid w:val="1E1020A9"/>
    <w:rsid w:val="1E124827"/>
    <w:rsid w:val="1E14510F"/>
    <w:rsid w:val="1E171E3D"/>
    <w:rsid w:val="1E1C7453"/>
    <w:rsid w:val="1E1D43CF"/>
    <w:rsid w:val="1E1D56A5"/>
    <w:rsid w:val="1E1E4F79"/>
    <w:rsid w:val="1E1F1EBF"/>
    <w:rsid w:val="1E205195"/>
    <w:rsid w:val="1E214A6A"/>
    <w:rsid w:val="1E22594E"/>
    <w:rsid w:val="1E256308"/>
    <w:rsid w:val="1E276524"/>
    <w:rsid w:val="1E2A1B70"/>
    <w:rsid w:val="1E2A7DC2"/>
    <w:rsid w:val="1E2B6BE7"/>
    <w:rsid w:val="1E2E78B2"/>
    <w:rsid w:val="1E2F7187"/>
    <w:rsid w:val="1E311151"/>
    <w:rsid w:val="1E320A25"/>
    <w:rsid w:val="1E334EC9"/>
    <w:rsid w:val="1E360515"/>
    <w:rsid w:val="1E3649B9"/>
    <w:rsid w:val="1E385BDE"/>
    <w:rsid w:val="1E391DB3"/>
    <w:rsid w:val="1E3B1FCF"/>
    <w:rsid w:val="1E3C702F"/>
    <w:rsid w:val="1E3D18A3"/>
    <w:rsid w:val="1E3D7AF5"/>
    <w:rsid w:val="1E401394"/>
    <w:rsid w:val="1E403142"/>
    <w:rsid w:val="1E413AA8"/>
    <w:rsid w:val="1E42335E"/>
    <w:rsid w:val="1E432C32"/>
    <w:rsid w:val="1E45337F"/>
    <w:rsid w:val="1E472722"/>
    <w:rsid w:val="1E4A684B"/>
    <w:rsid w:val="1E4C7D38"/>
    <w:rsid w:val="1E4E3AB1"/>
    <w:rsid w:val="1E4F7829"/>
    <w:rsid w:val="1E5135A1"/>
    <w:rsid w:val="1E5310C7"/>
    <w:rsid w:val="1E57048B"/>
    <w:rsid w:val="1E5D1F46"/>
    <w:rsid w:val="1E5D3CF4"/>
    <w:rsid w:val="1E5D6F6E"/>
    <w:rsid w:val="1E5E181A"/>
    <w:rsid w:val="1E605592"/>
    <w:rsid w:val="1E62130A"/>
    <w:rsid w:val="1E6257AE"/>
    <w:rsid w:val="1E635082"/>
    <w:rsid w:val="1E672DC4"/>
    <w:rsid w:val="1E6A6411"/>
    <w:rsid w:val="1E6F3A27"/>
    <w:rsid w:val="1E71154D"/>
    <w:rsid w:val="1E71779F"/>
    <w:rsid w:val="1E74728F"/>
    <w:rsid w:val="1E780B2E"/>
    <w:rsid w:val="1E7828DC"/>
    <w:rsid w:val="1E7948A6"/>
    <w:rsid w:val="1E7C50C8"/>
    <w:rsid w:val="1E7D6144"/>
    <w:rsid w:val="1E827BFE"/>
    <w:rsid w:val="1E854FF8"/>
    <w:rsid w:val="1E86055A"/>
    <w:rsid w:val="1E86274F"/>
    <w:rsid w:val="1E870D71"/>
    <w:rsid w:val="1E876FC3"/>
    <w:rsid w:val="1E890F8D"/>
    <w:rsid w:val="1E892D3B"/>
    <w:rsid w:val="1E896907"/>
    <w:rsid w:val="1E8B6B43"/>
    <w:rsid w:val="1E8C604D"/>
    <w:rsid w:val="1E8E11A8"/>
    <w:rsid w:val="1E8F5E77"/>
    <w:rsid w:val="1E8F7C25"/>
    <w:rsid w:val="1E911BEF"/>
    <w:rsid w:val="1E917E41"/>
    <w:rsid w:val="1E935967"/>
    <w:rsid w:val="1E945864"/>
    <w:rsid w:val="1E952C15"/>
    <w:rsid w:val="1E957931"/>
    <w:rsid w:val="1E960FB4"/>
    <w:rsid w:val="1E9811D0"/>
    <w:rsid w:val="1E9A4F48"/>
    <w:rsid w:val="1E9B0CC0"/>
    <w:rsid w:val="1E9B2A6E"/>
    <w:rsid w:val="1E9D0594"/>
    <w:rsid w:val="1E9D67E6"/>
    <w:rsid w:val="1E9F430C"/>
    <w:rsid w:val="1EA25BAA"/>
    <w:rsid w:val="1EA3575E"/>
    <w:rsid w:val="1EA47B74"/>
    <w:rsid w:val="1EA57449"/>
    <w:rsid w:val="1EA638ED"/>
    <w:rsid w:val="1EA77665"/>
    <w:rsid w:val="1EAA54AB"/>
    <w:rsid w:val="1EAC4C7B"/>
    <w:rsid w:val="1EAC6A29"/>
    <w:rsid w:val="1EAF02C7"/>
    <w:rsid w:val="1EB11208"/>
    <w:rsid w:val="1EB12291"/>
    <w:rsid w:val="1EB37DB8"/>
    <w:rsid w:val="1EB61656"/>
    <w:rsid w:val="1EB678A8"/>
    <w:rsid w:val="1EB83620"/>
    <w:rsid w:val="1EB8717C"/>
    <w:rsid w:val="1EBA7398"/>
    <w:rsid w:val="1EBB0A1A"/>
    <w:rsid w:val="1EBB4EBE"/>
    <w:rsid w:val="1EBB7948"/>
    <w:rsid w:val="1EBC7552"/>
    <w:rsid w:val="1EBD0C36"/>
    <w:rsid w:val="1EBD6015"/>
    <w:rsid w:val="1EBF050A"/>
    <w:rsid w:val="1EC01001"/>
    <w:rsid w:val="1EC02DEE"/>
    <w:rsid w:val="1EC1196B"/>
    <w:rsid w:val="1EC11CD6"/>
    <w:rsid w:val="1EC254B9"/>
    <w:rsid w:val="1EC2624D"/>
    <w:rsid w:val="1EC41FC5"/>
    <w:rsid w:val="1EC5360D"/>
    <w:rsid w:val="1EC65D3D"/>
    <w:rsid w:val="1EC91389"/>
    <w:rsid w:val="1ECB5101"/>
    <w:rsid w:val="1ECC0E79"/>
    <w:rsid w:val="1ECE074D"/>
    <w:rsid w:val="1ECE322F"/>
    <w:rsid w:val="1ECE699F"/>
    <w:rsid w:val="1ED0096A"/>
    <w:rsid w:val="1ED3045A"/>
    <w:rsid w:val="1ED32208"/>
    <w:rsid w:val="1ED61CF8"/>
    <w:rsid w:val="1ED85A70"/>
    <w:rsid w:val="1ED8781E"/>
    <w:rsid w:val="1EDC730E"/>
    <w:rsid w:val="1EDD4E34"/>
    <w:rsid w:val="1EDD6BE3"/>
    <w:rsid w:val="1EDF6D85"/>
    <w:rsid w:val="1EE00481"/>
    <w:rsid w:val="1EE116A5"/>
    <w:rsid w:val="1EE2069D"/>
    <w:rsid w:val="1EE45D3E"/>
    <w:rsid w:val="1EE7180F"/>
    <w:rsid w:val="1EE77A61"/>
    <w:rsid w:val="1EEA3E98"/>
    <w:rsid w:val="1EEB2065"/>
    <w:rsid w:val="1EEB7551"/>
    <w:rsid w:val="1EF02DBA"/>
    <w:rsid w:val="1EF0755B"/>
    <w:rsid w:val="1EF108E0"/>
    <w:rsid w:val="1EF11BC2"/>
    <w:rsid w:val="1EF34658"/>
    <w:rsid w:val="1EF503D0"/>
    <w:rsid w:val="1EF83A1C"/>
    <w:rsid w:val="1EFA0DBC"/>
    <w:rsid w:val="1EFA3E56"/>
    <w:rsid w:val="1EFA59E6"/>
    <w:rsid w:val="1EFA7794"/>
    <w:rsid w:val="1EFB52BB"/>
    <w:rsid w:val="1EFD7285"/>
    <w:rsid w:val="1EFE0AE6"/>
    <w:rsid w:val="1F0044AB"/>
    <w:rsid w:val="1F00466F"/>
    <w:rsid w:val="1F02489B"/>
    <w:rsid w:val="1F040613"/>
    <w:rsid w:val="1F046865"/>
    <w:rsid w:val="1F0B7CB7"/>
    <w:rsid w:val="1F0C74C8"/>
    <w:rsid w:val="1F0D396C"/>
    <w:rsid w:val="1F0E1492"/>
    <w:rsid w:val="1F121C14"/>
    <w:rsid w:val="1F132604"/>
    <w:rsid w:val="1F1620F4"/>
    <w:rsid w:val="1F176598"/>
    <w:rsid w:val="1F1840BF"/>
    <w:rsid w:val="1F1A3993"/>
    <w:rsid w:val="1F1C595D"/>
    <w:rsid w:val="1F1D3483"/>
    <w:rsid w:val="1F220A99"/>
    <w:rsid w:val="1F234F3D"/>
    <w:rsid w:val="1F240CB5"/>
    <w:rsid w:val="1F244811"/>
    <w:rsid w:val="1F26058A"/>
    <w:rsid w:val="1F263077"/>
    <w:rsid w:val="1F2760B0"/>
    <w:rsid w:val="1F2962CC"/>
    <w:rsid w:val="1F2A132B"/>
    <w:rsid w:val="1F2B1BBB"/>
    <w:rsid w:val="1F2B3EFC"/>
    <w:rsid w:val="1F2C1918"/>
    <w:rsid w:val="1F3709E9"/>
    <w:rsid w:val="1F3917B1"/>
    <w:rsid w:val="1F394761"/>
    <w:rsid w:val="1F3A1CC8"/>
    <w:rsid w:val="1F3A7811"/>
    <w:rsid w:val="1F3C1B5B"/>
    <w:rsid w:val="1F3D3861"/>
    <w:rsid w:val="1F3E1D77"/>
    <w:rsid w:val="1F3F164B"/>
    <w:rsid w:val="1F4153C3"/>
    <w:rsid w:val="1F42113B"/>
    <w:rsid w:val="1F422EEA"/>
    <w:rsid w:val="1F43738D"/>
    <w:rsid w:val="1F446C62"/>
    <w:rsid w:val="1F455F33"/>
    <w:rsid w:val="1F4849A4"/>
    <w:rsid w:val="1F4B4494"/>
    <w:rsid w:val="1F4F542F"/>
    <w:rsid w:val="1F536EA5"/>
    <w:rsid w:val="1F572E39"/>
    <w:rsid w:val="1F5A0233"/>
    <w:rsid w:val="1F5F1CED"/>
    <w:rsid w:val="1F6115C2"/>
    <w:rsid w:val="1F645556"/>
    <w:rsid w:val="1F66307C"/>
    <w:rsid w:val="1F6862A6"/>
    <w:rsid w:val="1F69007B"/>
    <w:rsid w:val="1F6966C8"/>
    <w:rsid w:val="1F6A2B6C"/>
    <w:rsid w:val="1F6B0692"/>
    <w:rsid w:val="1F6B41EE"/>
    <w:rsid w:val="1F6B68E4"/>
    <w:rsid w:val="1F6D7F66"/>
    <w:rsid w:val="1F6E1F30"/>
    <w:rsid w:val="1F6E3CDF"/>
    <w:rsid w:val="1F6F5AB9"/>
    <w:rsid w:val="1F705CA9"/>
    <w:rsid w:val="1F7742B3"/>
    <w:rsid w:val="1F794E23"/>
    <w:rsid w:val="1F7A180A"/>
    <w:rsid w:val="1F7A2683"/>
    <w:rsid w:val="1F7A6B27"/>
    <w:rsid w:val="1F7C464D"/>
    <w:rsid w:val="1F7E4C34"/>
    <w:rsid w:val="1F7F5EEC"/>
    <w:rsid w:val="1F8009E4"/>
    <w:rsid w:val="1F841EC1"/>
    <w:rsid w:val="1F843502"/>
    <w:rsid w:val="1F86727A"/>
    <w:rsid w:val="1F882FF2"/>
    <w:rsid w:val="1F884DA0"/>
    <w:rsid w:val="1F8B2AE2"/>
    <w:rsid w:val="1F8B7731"/>
    <w:rsid w:val="1F8D685B"/>
    <w:rsid w:val="1F8E4729"/>
    <w:rsid w:val="1F8E612F"/>
    <w:rsid w:val="1F8F25D3"/>
    <w:rsid w:val="1F9000F9"/>
    <w:rsid w:val="1F901CAA"/>
    <w:rsid w:val="1F901EA7"/>
    <w:rsid w:val="1F923E71"/>
    <w:rsid w:val="1F947BE9"/>
    <w:rsid w:val="1F980D5B"/>
    <w:rsid w:val="1F9951FF"/>
    <w:rsid w:val="1F9B6D2D"/>
    <w:rsid w:val="1F9D0F13"/>
    <w:rsid w:val="1FA3607E"/>
    <w:rsid w:val="1FA37E2C"/>
    <w:rsid w:val="1FA53BA4"/>
    <w:rsid w:val="1FA63478"/>
    <w:rsid w:val="1FA80734"/>
    <w:rsid w:val="1FA92F69"/>
    <w:rsid w:val="1FA97BE3"/>
    <w:rsid w:val="1FAD2A59"/>
    <w:rsid w:val="1FB042F7"/>
    <w:rsid w:val="1FB21E1D"/>
    <w:rsid w:val="1FB75686"/>
    <w:rsid w:val="1FB77434"/>
    <w:rsid w:val="1FB8145E"/>
    <w:rsid w:val="1FB82425"/>
    <w:rsid w:val="1FB94107"/>
    <w:rsid w:val="1FBA6F24"/>
    <w:rsid w:val="1FBC0EEE"/>
    <w:rsid w:val="1FBE0986"/>
    <w:rsid w:val="1FBF453A"/>
    <w:rsid w:val="1FC3227C"/>
    <w:rsid w:val="1FC3402A"/>
    <w:rsid w:val="1FC41B50"/>
    <w:rsid w:val="1FC63B1B"/>
    <w:rsid w:val="1FC66330"/>
    <w:rsid w:val="1FCA360B"/>
    <w:rsid w:val="1FD04999"/>
    <w:rsid w:val="1FD06747"/>
    <w:rsid w:val="1FD20711"/>
    <w:rsid w:val="1FD47FE6"/>
    <w:rsid w:val="1FD53D5E"/>
    <w:rsid w:val="1FD55B0C"/>
    <w:rsid w:val="1FD60202"/>
    <w:rsid w:val="1FD71884"/>
    <w:rsid w:val="1FD75D28"/>
    <w:rsid w:val="1FD91AA0"/>
    <w:rsid w:val="1FDA1374"/>
    <w:rsid w:val="1FDB5818"/>
    <w:rsid w:val="1FDC50EC"/>
    <w:rsid w:val="1FE12702"/>
    <w:rsid w:val="1FE21EC2"/>
    <w:rsid w:val="1FE30229"/>
    <w:rsid w:val="1FE3647B"/>
    <w:rsid w:val="1FE43FA1"/>
    <w:rsid w:val="1FE65F6B"/>
    <w:rsid w:val="1FE81CE3"/>
    <w:rsid w:val="1FEA15B7"/>
    <w:rsid w:val="1FEB532F"/>
    <w:rsid w:val="1FEC17D3"/>
    <w:rsid w:val="1FED554B"/>
    <w:rsid w:val="1FEF3071"/>
    <w:rsid w:val="1FF16DE9"/>
    <w:rsid w:val="1FF266BE"/>
    <w:rsid w:val="1FF40688"/>
    <w:rsid w:val="1FF42195"/>
    <w:rsid w:val="1FF42436"/>
    <w:rsid w:val="1FF73CD4"/>
    <w:rsid w:val="1FF901D7"/>
    <w:rsid w:val="1FF90471"/>
    <w:rsid w:val="1FF94B77"/>
    <w:rsid w:val="1FF97A4C"/>
    <w:rsid w:val="1FFB37C4"/>
    <w:rsid w:val="1FFB7C68"/>
    <w:rsid w:val="1FFC12EA"/>
    <w:rsid w:val="1FFD4638"/>
    <w:rsid w:val="1FFE5062"/>
    <w:rsid w:val="1FFF72A8"/>
    <w:rsid w:val="20000DDB"/>
    <w:rsid w:val="20014B53"/>
    <w:rsid w:val="20036B1D"/>
    <w:rsid w:val="20041C8A"/>
    <w:rsid w:val="20052895"/>
    <w:rsid w:val="20054643"/>
    <w:rsid w:val="2007660D"/>
    <w:rsid w:val="20084133"/>
    <w:rsid w:val="20085EE1"/>
    <w:rsid w:val="200A7EAB"/>
    <w:rsid w:val="200D34F7"/>
    <w:rsid w:val="200F101E"/>
    <w:rsid w:val="20104D96"/>
    <w:rsid w:val="20120887"/>
    <w:rsid w:val="20120B0E"/>
    <w:rsid w:val="201245E9"/>
    <w:rsid w:val="20142AD8"/>
    <w:rsid w:val="201523AC"/>
    <w:rsid w:val="201605FE"/>
    <w:rsid w:val="201725C8"/>
    <w:rsid w:val="201C373B"/>
    <w:rsid w:val="2020147D"/>
    <w:rsid w:val="20216FA3"/>
    <w:rsid w:val="20234AC9"/>
    <w:rsid w:val="2027280B"/>
    <w:rsid w:val="20280331"/>
    <w:rsid w:val="20286583"/>
    <w:rsid w:val="202D1DEC"/>
    <w:rsid w:val="202D3B9A"/>
    <w:rsid w:val="202D76F6"/>
    <w:rsid w:val="202F16C0"/>
    <w:rsid w:val="202F7912"/>
    <w:rsid w:val="20307817"/>
    <w:rsid w:val="20322F5E"/>
    <w:rsid w:val="20340A84"/>
    <w:rsid w:val="20346CD6"/>
    <w:rsid w:val="20347628"/>
    <w:rsid w:val="20360CA0"/>
    <w:rsid w:val="20370574"/>
    <w:rsid w:val="203717D3"/>
    <w:rsid w:val="203767C6"/>
    <w:rsid w:val="20392D4B"/>
    <w:rsid w:val="203942EC"/>
    <w:rsid w:val="20397E8F"/>
    <w:rsid w:val="203A77B8"/>
    <w:rsid w:val="203E1903"/>
    <w:rsid w:val="2040567B"/>
    <w:rsid w:val="20436F19"/>
    <w:rsid w:val="2044711D"/>
    <w:rsid w:val="20457135"/>
    <w:rsid w:val="204607B7"/>
    <w:rsid w:val="204748C7"/>
    <w:rsid w:val="20476A09"/>
    <w:rsid w:val="20484530"/>
    <w:rsid w:val="2049139E"/>
    <w:rsid w:val="204D5FEA"/>
    <w:rsid w:val="204D7D98"/>
    <w:rsid w:val="204F1D62"/>
    <w:rsid w:val="204F264A"/>
    <w:rsid w:val="20510493"/>
    <w:rsid w:val="20514B81"/>
    <w:rsid w:val="20515ADA"/>
    <w:rsid w:val="20541126"/>
    <w:rsid w:val="205630F0"/>
    <w:rsid w:val="20580C17"/>
    <w:rsid w:val="20586A23"/>
    <w:rsid w:val="20586E69"/>
    <w:rsid w:val="2059498F"/>
    <w:rsid w:val="205B0707"/>
    <w:rsid w:val="205B4263"/>
    <w:rsid w:val="205C650F"/>
    <w:rsid w:val="205C6834"/>
    <w:rsid w:val="206155F1"/>
    <w:rsid w:val="20623843"/>
    <w:rsid w:val="20631369"/>
    <w:rsid w:val="20646707"/>
    <w:rsid w:val="20653161"/>
    <w:rsid w:val="206550E2"/>
    <w:rsid w:val="20670E5A"/>
    <w:rsid w:val="20686980"/>
    <w:rsid w:val="20692E24"/>
    <w:rsid w:val="206A26F8"/>
    <w:rsid w:val="206C46C2"/>
    <w:rsid w:val="206E043A"/>
    <w:rsid w:val="206F2F29"/>
    <w:rsid w:val="206F7D0E"/>
    <w:rsid w:val="20713A86"/>
    <w:rsid w:val="207215AC"/>
    <w:rsid w:val="20743577"/>
    <w:rsid w:val="20757868"/>
    <w:rsid w:val="20781906"/>
    <w:rsid w:val="207B66B3"/>
    <w:rsid w:val="207E61A3"/>
    <w:rsid w:val="20810627"/>
    <w:rsid w:val="20831A0C"/>
    <w:rsid w:val="208328D1"/>
    <w:rsid w:val="208714FC"/>
    <w:rsid w:val="20875058"/>
    <w:rsid w:val="208A0FEC"/>
    <w:rsid w:val="208D3C12"/>
    <w:rsid w:val="208F03B0"/>
    <w:rsid w:val="208F215E"/>
    <w:rsid w:val="20915ED7"/>
    <w:rsid w:val="20937EA1"/>
    <w:rsid w:val="20943C19"/>
    <w:rsid w:val="209459C7"/>
    <w:rsid w:val="20971013"/>
    <w:rsid w:val="20983709"/>
    <w:rsid w:val="20983EB6"/>
    <w:rsid w:val="209854B7"/>
    <w:rsid w:val="20987265"/>
    <w:rsid w:val="2099122F"/>
    <w:rsid w:val="20992FDD"/>
    <w:rsid w:val="209B0A84"/>
    <w:rsid w:val="209B6D55"/>
    <w:rsid w:val="209B7C66"/>
    <w:rsid w:val="209D487B"/>
    <w:rsid w:val="209E1F1C"/>
    <w:rsid w:val="209E7D28"/>
    <w:rsid w:val="209F6845"/>
    <w:rsid w:val="20A0436C"/>
    <w:rsid w:val="20A05219"/>
    <w:rsid w:val="20A21E92"/>
    <w:rsid w:val="20A53730"/>
    <w:rsid w:val="20A57BD4"/>
    <w:rsid w:val="20A830A0"/>
    <w:rsid w:val="20B41BC5"/>
    <w:rsid w:val="20B45481"/>
    <w:rsid w:val="20B533DE"/>
    <w:rsid w:val="20B971DB"/>
    <w:rsid w:val="20BB7250"/>
    <w:rsid w:val="20BB733B"/>
    <w:rsid w:val="20BB73F7"/>
    <w:rsid w:val="20BD1CF0"/>
    <w:rsid w:val="20BE2A44"/>
    <w:rsid w:val="20BE2CEC"/>
    <w:rsid w:val="20C067BC"/>
    <w:rsid w:val="20C22534"/>
    <w:rsid w:val="20C27BBB"/>
    <w:rsid w:val="20C31E08"/>
    <w:rsid w:val="20C67002"/>
    <w:rsid w:val="20C86C83"/>
    <w:rsid w:val="20CA3197"/>
    <w:rsid w:val="20CA763A"/>
    <w:rsid w:val="20CC5161"/>
    <w:rsid w:val="20CC6F0F"/>
    <w:rsid w:val="20CD515E"/>
    <w:rsid w:val="20CE0ED9"/>
    <w:rsid w:val="20D64231"/>
    <w:rsid w:val="20DA5ACF"/>
    <w:rsid w:val="20DB1848"/>
    <w:rsid w:val="20DD736E"/>
    <w:rsid w:val="20E029BA"/>
    <w:rsid w:val="20E22BD6"/>
    <w:rsid w:val="20E24984"/>
    <w:rsid w:val="20E26732"/>
    <w:rsid w:val="20E73D48"/>
    <w:rsid w:val="20E83702"/>
    <w:rsid w:val="20E879FE"/>
    <w:rsid w:val="20E922CD"/>
    <w:rsid w:val="20E93F65"/>
    <w:rsid w:val="20E97AC1"/>
    <w:rsid w:val="20EA3839"/>
    <w:rsid w:val="20EB1A8B"/>
    <w:rsid w:val="20ED750E"/>
    <w:rsid w:val="20EE3329"/>
    <w:rsid w:val="20EE50D7"/>
    <w:rsid w:val="20F070A1"/>
    <w:rsid w:val="20F12AC3"/>
    <w:rsid w:val="20F12E19"/>
    <w:rsid w:val="20F36B91"/>
    <w:rsid w:val="20F52909"/>
    <w:rsid w:val="20FB5A46"/>
    <w:rsid w:val="20FB77F4"/>
    <w:rsid w:val="20FC3C98"/>
    <w:rsid w:val="20FD17BE"/>
    <w:rsid w:val="20FD531A"/>
    <w:rsid w:val="20FF72E4"/>
    <w:rsid w:val="21012835"/>
    <w:rsid w:val="210219E5"/>
    <w:rsid w:val="21022930"/>
    <w:rsid w:val="21026DD4"/>
    <w:rsid w:val="210466A8"/>
    <w:rsid w:val="21051A4E"/>
    <w:rsid w:val="210668C5"/>
    <w:rsid w:val="2107263D"/>
    <w:rsid w:val="21080F54"/>
    <w:rsid w:val="210C7C53"/>
    <w:rsid w:val="210E39CB"/>
    <w:rsid w:val="210E7F88"/>
    <w:rsid w:val="21110DC5"/>
    <w:rsid w:val="21115269"/>
    <w:rsid w:val="21117017"/>
    <w:rsid w:val="21132D8F"/>
    <w:rsid w:val="211508B6"/>
    <w:rsid w:val="211A411E"/>
    <w:rsid w:val="211B1B26"/>
    <w:rsid w:val="211C7E96"/>
    <w:rsid w:val="211F1734"/>
    <w:rsid w:val="212154AC"/>
    <w:rsid w:val="21222FD3"/>
    <w:rsid w:val="21224D81"/>
    <w:rsid w:val="21244F9D"/>
    <w:rsid w:val="21246D4B"/>
    <w:rsid w:val="2129610F"/>
    <w:rsid w:val="212A1E87"/>
    <w:rsid w:val="212A3044"/>
    <w:rsid w:val="212B7F6F"/>
    <w:rsid w:val="212E1977"/>
    <w:rsid w:val="212E3725"/>
    <w:rsid w:val="21303941"/>
    <w:rsid w:val="2130749E"/>
    <w:rsid w:val="21313216"/>
    <w:rsid w:val="21322993"/>
    <w:rsid w:val="21325E28"/>
    <w:rsid w:val="213276BA"/>
    <w:rsid w:val="21333432"/>
    <w:rsid w:val="21352D06"/>
    <w:rsid w:val="213827F6"/>
    <w:rsid w:val="213845A4"/>
    <w:rsid w:val="213A656E"/>
    <w:rsid w:val="213B5E42"/>
    <w:rsid w:val="213B6468"/>
    <w:rsid w:val="213C22E6"/>
    <w:rsid w:val="213F3B84"/>
    <w:rsid w:val="21400B25"/>
    <w:rsid w:val="21436EF8"/>
    <w:rsid w:val="2144119B"/>
    <w:rsid w:val="21463165"/>
    <w:rsid w:val="21470C8B"/>
    <w:rsid w:val="214747E7"/>
    <w:rsid w:val="214B2529"/>
    <w:rsid w:val="214C004F"/>
    <w:rsid w:val="214C5406"/>
    <w:rsid w:val="214D3F8A"/>
    <w:rsid w:val="214E201A"/>
    <w:rsid w:val="214E3D44"/>
    <w:rsid w:val="215313DE"/>
    <w:rsid w:val="21542994"/>
    <w:rsid w:val="21553BAC"/>
    <w:rsid w:val="21562C7C"/>
    <w:rsid w:val="21570ECE"/>
    <w:rsid w:val="215A09BE"/>
    <w:rsid w:val="215C4736"/>
    <w:rsid w:val="215D400B"/>
    <w:rsid w:val="215F0F70"/>
    <w:rsid w:val="215F3821"/>
    <w:rsid w:val="215F4227"/>
    <w:rsid w:val="215F5FD5"/>
    <w:rsid w:val="216102D0"/>
    <w:rsid w:val="21614B04"/>
    <w:rsid w:val="21621621"/>
    <w:rsid w:val="21627873"/>
    <w:rsid w:val="2163106E"/>
    <w:rsid w:val="216435EB"/>
    <w:rsid w:val="21645399"/>
    <w:rsid w:val="21676C37"/>
    <w:rsid w:val="21696E53"/>
    <w:rsid w:val="216A4942"/>
    <w:rsid w:val="216A6083"/>
    <w:rsid w:val="216B6728"/>
    <w:rsid w:val="216C2DC4"/>
    <w:rsid w:val="217557F8"/>
    <w:rsid w:val="21771570"/>
    <w:rsid w:val="217750CC"/>
    <w:rsid w:val="21775AB6"/>
    <w:rsid w:val="21787096"/>
    <w:rsid w:val="217A4437"/>
    <w:rsid w:val="217A696B"/>
    <w:rsid w:val="218002A9"/>
    <w:rsid w:val="21823A71"/>
    <w:rsid w:val="21845A3B"/>
    <w:rsid w:val="2186530F"/>
    <w:rsid w:val="218C499A"/>
    <w:rsid w:val="21935C7E"/>
    <w:rsid w:val="21943159"/>
    <w:rsid w:val="21964D05"/>
    <w:rsid w:val="2196789E"/>
    <w:rsid w:val="219739C1"/>
    <w:rsid w:val="219914E7"/>
    <w:rsid w:val="219A461E"/>
    <w:rsid w:val="219A6D4B"/>
    <w:rsid w:val="219C2D85"/>
    <w:rsid w:val="219C4B33"/>
    <w:rsid w:val="219C6341"/>
    <w:rsid w:val="219D77D1"/>
    <w:rsid w:val="219E4D4F"/>
    <w:rsid w:val="21A32365"/>
    <w:rsid w:val="21A34113"/>
    <w:rsid w:val="21A869BF"/>
    <w:rsid w:val="21AA283A"/>
    <w:rsid w:val="21AF0D0A"/>
    <w:rsid w:val="21B005DE"/>
    <w:rsid w:val="21B06830"/>
    <w:rsid w:val="21B11354"/>
    <w:rsid w:val="21B1594D"/>
    <w:rsid w:val="21B207FA"/>
    <w:rsid w:val="21B31E7D"/>
    <w:rsid w:val="21B40ED6"/>
    <w:rsid w:val="21B53E47"/>
    <w:rsid w:val="21B77BBF"/>
    <w:rsid w:val="21BC51D5"/>
    <w:rsid w:val="21BE0F4D"/>
    <w:rsid w:val="21BE2CFB"/>
    <w:rsid w:val="21BF2024"/>
    <w:rsid w:val="21BF4CC5"/>
    <w:rsid w:val="21BF6A73"/>
    <w:rsid w:val="21C135B4"/>
    <w:rsid w:val="21C4408A"/>
    <w:rsid w:val="21C61BB0"/>
    <w:rsid w:val="21C83B7A"/>
    <w:rsid w:val="21C978F2"/>
    <w:rsid w:val="21CA590F"/>
    <w:rsid w:val="21CF3DA1"/>
    <w:rsid w:val="21D06ED2"/>
    <w:rsid w:val="21D10545"/>
    <w:rsid w:val="21D56297"/>
    <w:rsid w:val="21D818E3"/>
    <w:rsid w:val="21DA1AFF"/>
    <w:rsid w:val="21DA38AD"/>
    <w:rsid w:val="21DD0F34"/>
    <w:rsid w:val="21DD6EFA"/>
    <w:rsid w:val="21DE514B"/>
    <w:rsid w:val="21E604A4"/>
    <w:rsid w:val="21E87D78"/>
    <w:rsid w:val="21E93AF0"/>
    <w:rsid w:val="21EB1616"/>
    <w:rsid w:val="21ED538F"/>
    <w:rsid w:val="21EF7359"/>
    <w:rsid w:val="21F030D1"/>
    <w:rsid w:val="21F26E49"/>
    <w:rsid w:val="21F52495"/>
    <w:rsid w:val="21F77FBB"/>
    <w:rsid w:val="21FC77BC"/>
    <w:rsid w:val="21FE56DE"/>
    <w:rsid w:val="22001566"/>
    <w:rsid w:val="22096151"/>
    <w:rsid w:val="220A5F40"/>
    <w:rsid w:val="220B1CB9"/>
    <w:rsid w:val="220B7F0B"/>
    <w:rsid w:val="220D3C83"/>
    <w:rsid w:val="220F79FB"/>
    <w:rsid w:val="22117B9A"/>
    <w:rsid w:val="22123047"/>
    <w:rsid w:val="22124DF5"/>
    <w:rsid w:val="221424D5"/>
    <w:rsid w:val="221548E5"/>
    <w:rsid w:val="221768AF"/>
    <w:rsid w:val="221943D6"/>
    <w:rsid w:val="221A3B7F"/>
    <w:rsid w:val="221B014E"/>
    <w:rsid w:val="221E7C3E"/>
    <w:rsid w:val="222039B6"/>
    <w:rsid w:val="222114DC"/>
    <w:rsid w:val="2221328A"/>
    <w:rsid w:val="2221772E"/>
    <w:rsid w:val="22250FCC"/>
    <w:rsid w:val="22266AF2"/>
    <w:rsid w:val="22280ABD"/>
    <w:rsid w:val="2228286B"/>
    <w:rsid w:val="2228635C"/>
    <w:rsid w:val="2229591A"/>
    <w:rsid w:val="222A0391"/>
    <w:rsid w:val="222A0696"/>
    <w:rsid w:val="222A65E3"/>
    <w:rsid w:val="222B4109"/>
    <w:rsid w:val="223034CD"/>
    <w:rsid w:val="2234120F"/>
    <w:rsid w:val="22342FBD"/>
    <w:rsid w:val="22347461"/>
    <w:rsid w:val="223631D9"/>
    <w:rsid w:val="2237586F"/>
    <w:rsid w:val="22396826"/>
    <w:rsid w:val="223B259E"/>
    <w:rsid w:val="223B434C"/>
    <w:rsid w:val="223E208E"/>
    <w:rsid w:val="223E5BEA"/>
    <w:rsid w:val="22401962"/>
    <w:rsid w:val="22407BB4"/>
    <w:rsid w:val="22421B7E"/>
    <w:rsid w:val="22442DBC"/>
    <w:rsid w:val="224551CB"/>
    <w:rsid w:val="22456F79"/>
    <w:rsid w:val="22457E73"/>
    <w:rsid w:val="22462CF1"/>
    <w:rsid w:val="224768AD"/>
    <w:rsid w:val="22482F0D"/>
    <w:rsid w:val="224A0A33"/>
    <w:rsid w:val="224A458F"/>
    <w:rsid w:val="224C47AB"/>
    <w:rsid w:val="224C6559"/>
    <w:rsid w:val="224C6605"/>
    <w:rsid w:val="224E2666"/>
    <w:rsid w:val="224F66C7"/>
    <w:rsid w:val="22513B6F"/>
    <w:rsid w:val="225278E7"/>
    <w:rsid w:val="22574EFE"/>
    <w:rsid w:val="22583E4C"/>
    <w:rsid w:val="225A6D88"/>
    <w:rsid w:val="225E628C"/>
    <w:rsid w:val="22600256"/>
    <w:rsid w:val="226118D9"/>
    <w:rsid w:val="22617B2B"/>
    <w:rsid w:val="22631AF5"/>
    <w:rsid w:val="226323ED"/>
    <w:rsid w:val="226376D9"/>
    <w:rsid w:val="226513C5"/>
    <w:rsid w:val="22655D1C"/>
    <w:rsid w:val="22664EDF"/>
    <w:rsid w:val="22673393"/>
    <w:rsid w:val="226908C7"/>
    <w:rsid w:val="226B2757"/>
    <w:rsid w:val="226C09A9"/>
    <w:rsid w:val="226C301E"/>
    <w:rsid w:val="226D1CAC"/>
    <w:rsid w:val="226F2247"/>
    <w:rsid w:val="22702E2F"/>
    <w:rsid w:val="22711EB6"/>
    <w:rsid w:val="22715FC0"/>
    <w:rsid w:val="227301D5"/>
    <w:rsid w:val="22737F8A"/>
    <w:rsid w:val="22743D02"/>
    <w:rsid w:val="2277734E"/>
    <w:rsid w:val="22794E74"/>
    <w:rsid w:val="227D06D9"/>
    <w:rsid w:val="227D2BB6"/>
    <w:rsid w:val="228026A7"/>
    <w:rsid w:val="22803731"/>
    <w:rsid w:val="22806203"/>
    <w:rsid w:val="22813D29"/>
    <w:rsid w:val="22851A6B"/>
    <w:rsid w:val="228A0E2F"/>
    <w:rsid w:val="228A1178"/>
    <w:rsid w:val="228A7081"/>
    <w:rsid w:val="228C4BA7"/>
    <w:rsid w:val="229323DA"/>
    <w:rsid w:val="22941CAE"/>
    <w:rsid w:val="22995516"/>
    <w:rsid w:val="229B303C"/>
    <w:rsid w:val="229B752C"/>
    <w:rsid w:val="229D5007"/>
    <w:rsid w:val="229E0695"/>
    <w:rsid w:val="229E48DB"/>
    <w:rsid w:val="229E75EE"/>
    <w:rsid w:val="229F3FA5"/>
    <w:rsid w:val="22A04AF7"/>
    <w:rsid w:val="22A10244"/>
    <w:rsid w:val="22A243CB"/>
    <w:rsid w:val="22A25CBE"/>
    <w:rsid w:val="22A273FF"/>
    <w:rsid w:val="22A30143"/>
    <w:rsid w:val="22A77C33"/>
    <w:rsid w:val="22AA01F1"/>
    <w:rsid w:val="22AA7723"/>
    <w:rsid w:val="22AB1BF2"/>
    <w:rsid w:val="22AC6FF8"/>
    <w:rsid w:val="22AE0FC2"/>
    <w:rsid w:val="22AF006F"/>
    <w:rsid w:val="22B07DE4"/>
    <w:rsid w:val="22B42350"/>
    <w:rsid w:val="22B660C8"/>
    <w:rsid w:val="22B83BEE"/>
    <w:rsid w:val="22B85530"/>
    <w:rsid w:val="22B91715"/>
    <w:rsid w:val="22BB36DF"/>
    <w:rsid w:val="22BD7457"/>
    <w:rsid w:val="22C02AA3"/>
    <w:rsid w:val="22C07293"/>
    <w:rsid w:val="22C2681B"/>
    <w:rsid w:val="22C32593"/>
    <w:rsid w:val="22C34341"/>
    <w:rsid w:val="22C5455D"/>
    <w:rsid w:val="22C75BE0"/>
    <w:rsid w:val="22CC58EC"/>
    <w:rsid w:val="22CC769A"/>
    <w:rsid w:val="22CD1B83"/>
    <w:rsid w:val="22CE3412"/>
    <w:rsid w:val="22D12F02"/>
    <w:rsid w:val="22D14CB0"/>
    <w:rsid w:val="22D16A5E"/>
    <w:rsid w:val="22D30A28"/>
    <w:rsid w:val="22D8603F"/>
    <w:rsid w:val="22D93B65"/>
    <w:rsid w:val="22DA08B9"/>
    <w:rsid w:val="22DA1DB7"/>
    <w:rsid w:val="22DB168B"/>
    <w:rsid w:val="22DB5B2F"/>
    <w:rsid w:val="22DD3655"/>
    <w:rsid w:val="22E20C6B"/>
    <w:rsid w:val="22E22A19"/>
    <w:rsid w:val="22E449E3"/>
    <w:rsid w:val="22E542B8"/>
    <w:rsid w:val="22E569AE"/>
    <w:rsid w:val="22E744D4"/>
    <w:rsid w:val="22EA18E2"/>
    <w:rsid w:val="22EA5D72"/>
    <w:rsid w:val="22EB3FC4"/>
    <w:rsid w:val="22EC0514"/>
    <w:rsid w:val="22EE0645"/>
    <w:rsid w:val="22EE30E2"/>
    <w:rsid w:val="22EE5862"/>
    <w:rsid w:val="22EF3388"/>
    <w:rsid w:val="22F46A22"/>
    <w:rsid w:val="22F557A2"/>
    <w:rsid w:val="22F55C75"/>
    <w:rsid w:val="22F55F7E"/>
    <w:rsid w:val="22F56BF1"/>
    <w:rsid w:val="22F664C5"/>
    <w:rsid w:val="22F80095"/>
    <w:rsid w:val="22F95FB5"/>
    <w:rsid w:val="22FA4207"/>
    <w:rsid w:val="22FB0071"/>
    <w:rsid w:val="22FB2867"/>
    <w:rsid w:val="22FD5AA5"/>
    <w:rsid w:val="22FF35CB"/>
    <w:rsid w:val="22FF7A6F"/>
    <w:rsid w:val="23005595"/>
    <w:rsid w:val="23033AEF"/>
    <w:rsid w:val="23046E34"/>
    <w:rsid w:val="23052BAC"/>
    <w:rsid w:val="2307254B"/>
    <w:rsid w:val="2309269C"/>
    <w:rsid w:val="230A1F70"/>
    <w:rsid w:val="230E2B09"/>
    <w:rsid w:val="230F7587"/>
    <w:rsid w:val="2311474A"/>
    <w:rsid w:val="23144B9D"/>
    <w:rsid w:val="231921B3"/>
    <w:rsid w:val="231B23CF"/>
    <w:rsid w:val="231B5F2B"/>
    <w:rsid w:val="231D1CA3"/>
    <w:rsid w:val="231D7342"/>
    <w:rsid w:val="231E77CA"/>
    <w:rsid w:val="231F5A1C"/>
    <w:rsid w:val="231F6524"/>
    <w:rsid w:val="232079E6"/>
    <w:rsid w:val="2322375E"/>
    <w:rsid w:val="23241284"/>
    <w:rsid w:val="23243032"/>
    <w:rsid w:val="232841D4"/>
    <w:rsid w:val="2329689A"/>
    <w:rsid w:val="232A616E"/>
    <w:rsid w:val="232C0139"/>
    <w:rsid w:val="232C638A"/>
    <w:rsid w:val="233139A1"/>
    <w:rsid w:val="2331574F"/>
    <w:rsid w:val="233174FD"/>
    <w:rsid w:val="233200D8"/>
    <w:rsid w:val="23333275"/>
    <w:rsid w:val="23353491"/>
    <w:rsid w:val="23362D65"/>
    <w:rsid w:val="23384D2F"/>
    <w:rsid w:val="23386ADD"/>
    <w:rsid w:val="233A0CAA"/>
    <w:rsid w:val="233A2855"/>
    <w:rsid w:val="233A4603"/>
    <w:rsid w:val="233D1985"/>
    <w:rsid w:val="23403BE4"/>
    <w:rsid w:val="234619DB"/>
    <w:rsid w:val="23474F72"/>
    <w:rsid w:val="23483118"/>
    <w:rsid w:val="23490CEA"/>
    <w:rsid w:val="234E19C5"/>
    <w:rsid w:val="234E6301"/>
    <w:rsid w:val="234F0D41"/>
    <w:rsid w:val="234F5BD5"/>
    <w:rsid w:val="235002CB"/>
    <w:rsid w:val="23503E27"/>
    <w:rsid w:val="2355768F"/>
    <w:rsid w:val="235A4CA6"/>
    <w:rsid w:val="235A6CAA"/>
    <w:rsid w:val="235C0A1E"/>
    <w:rsid w:val="235F406A"/>
    <w:rsid w:val="2369138D"/>
    <w:rsid w:val="23694EE9"/>
    <w:rsid w:val="236B2A0F"/>
    <w:rsid w:val="236C49D9"/>
    <w:rsid w:val="236D6760"/>
    <w:rsid w:val="236E0751"/>
    <w:rsid w:val="237044C9"/>
    <w:rsid w:val="2371150A"/>
    <w:rsid w:val="23711FEF"/>
    <w:rsid w:val="23720241"/>
    <w:rsid w:val="23735D67"/>
    <w:rsid w:val="2375388E"/>
    <w:rsid w:val="237613B4"/>
    <w:rsid w:val="2378337E"/>
    <w:rsid w:val="2378512C"/>
    <w:rsid w:val="237A6EBD"/>
    <w:rsid w:val="237B0B11"/>
    <w:rsid w:val="237F2849"/>
    <w:rsid w:val="237F470C"/>
    <w:rsid w:val="23812232"/>
    <w:rsid w:val="23841D23"/>
    <w:rsid w:val="23842AF2"/>
    <w:rsid w:val="23847F75"/>
    <w:rsid w:val="23862A4B"/>
    <w:rsid w:val="238735C1"/>
    <w:rsid w:val="23874C53"/>
    <w:rsid w:val="23887A65"/>
    <w:rsid w:val="23897339"/>
    <w:rsid w:val="238B30B1"/>
    <w:rsid w:val="238B6E02"/>
    <w:rsid w:val="238C0BD7"/>
    <w:rsid w:val="238D507B"/>
    <w:rsid w:val="238D5636"/>
    <w:rsid w:val="238E0DF3"/>
    <w:rsid w:val="238E242B"/>
    <w:rsid w:val="238E494F"/>
    <w:rsid w:val="238F70F2"/>
    <w:rsid w:val="239006C7"/>
    <w:rsid w:val="239113CE"/>
    <w:rsid w:val="2393640A"/>
    <w:rsid w:val="23955CDE"/>
    <w:rsid w:val="23963804"/>
    <w:rsid w:val="23983A20"/>
    <w:rsid w:val="23985DF6"/>
    <w:rsid w:val="239A1546"/>
    <w:rsid w:val="239C52BE"/>
    <w:rsid w:val="239D1036"/>
    <w:rsid w:val="239D2DE4"/>
    <w:rsid w:val="239D4B92"/>
    <w:rsid w:val="23A128D5"/>
    <w:rsid w:val="23A6613D"/>
    <w:rsid w:val="23A811B5"/>
    <w:rsid w:val="23A979DB"/>
    <w:rsid w:val="23AB5501"/>
    <w:rsid w:val="23AE0B4E"/>
    <w:rsid w:val="23AE66CF"/>
    <w:rsid w:val="23AE6D9F"/>
    <w:rsid w:val="23B1063E"/>
    <w:rsid w:val="23B24AE2"/>
    <w:rsid w:val="23B32608"/>
    <w:rsid w:val="23B819CC"/>
    <w:rsid w:val="23B95E70"/>
    <w:rsid w:val="23BA1BE8"/>
    <w:rsid w:val="23BA2A2E"/>
    <w:rsid w:val="23BA3996"/>
    <w:rsid w:val="23BA7682"/>
    <w:rsid w:val="23BA76CC"/>
    <w:rsid w:val="23BC14BC"/>
    <w:rsid w:val="23BF0FAD"/>
    <w:rsid w:val="23BF2D5B"/>
    <w:rsid w:val="23C245F9"/>
    <w:rsid w:val="23C40371"/>
    <w:rsid w:val="23C465C3"/>
    <w:rsid w:val="23C6058D"/>
    <w:rsid w:val="23C6233B"/>
    <w:rsid w:val="23C83794"/>
    <w:rsid w:val="23CA2B66"/>
    <w:rsid w:val="23CB16FF"/>
    <w:rsid w:val="23CB5BA3"/>
    <w:rsid w:val="23CB77BA"/>
    <w:rsid w:val="23CD52D2"/>
    <w:rsid w:val="23CE11F0"/>
    <w:rsid w:val="23CE7442"/>
    <w:rsid w:val="23D031BA"/>
    <w:rsid w:val="23D04F68"/>
    <w:rsid w:val="23D26F32"/>
    <w:rsid w:val="23D36806"/>
    <w:rsid w:val="23D507D0"/>
    <w:rsid w:val="23D5432C"/>
    <w:rsid w:val="23D74548"/>
    <w:rsid w:val="23D83E1C"/>
    <w:rsid w:val="23DA5DE6"/>
    <w:rsid w:val="23DC1B5F"/>
    <w:rsid w:val="23DC56BB"/>
    <w:rsid w:val="23DD1433"/>
    <w:rsid w:val="23DE58D7"/>
    <w:rsid w:val="23DE7685"/>
    <w:rsid w:val="23DF164F"/>
    <w:rsid w:val="23E12CD1"/>
    <w:rsid w:val="23E26A49"/>
    <w:rsid w:val="23E40A13"/>
    <w:rsid w:val="23E629DD"/>
    <w:rsid w:val="23E9602A"/>
    <w:rsid w:val="23EA427B"/>
    <w:rsid w:val="23EB1DA2"/>
    <w:rsid w:val="23EC5C89"/>
    <w:rsid w:val="23EE3640"/>
    <w:rsid w:val="23F073B8"/>
    <w:rsid w:val="23F13E30"/>
    <w:rsid w:val="23F30C56"/>
    <w:rsid w:val="23F46EA8"/>
    <w:rsid w:val="23F5677C"/>
    <w:rsid w:val="23F650D1"/>
    <w:rsid w:val="23FC3FAF"/>
    <w:rsid w:val="23FC5D5D"/>
    <w:rsid w:val="23FC7B0B"/>
    <w:rsid w:val="23FE7B75"/>
    <w:rsid w:val="23FF584D"/>
    <w:rsid w:val="23FF75FB"/>
    <w:rsid w:val="240115C5"/>
    <w:rsid w:val="2403533D"/>
    <w:rsid w:val="240370EB"/>
    <w:rsid w:val="240510B5"/>
    <w:rsid w:val="24077986"/>
    <w:rsid w:val="24084702"/>
    <w:rsid w:val="24087871"/>
    <w:rsid w:val="2409047A"/>
    <w:rsid w:val="240C7E7A"/>
    <w:rsid w:val="240E507C"/>
    <w:rsid w:val="2412732E"/>
    <w:rsid w:val="241412F8"/>
    <w:rsid w:val="24175420"/>
    <w:rsid w:val="241C39CC"/>
    <w:rsid w:val="241C63FF"/>
    <w:rsid w:val="241D458E"/>
    <w:rsid w:val="24215C55"/>
    <w:rsid w:val="24244ED1"/>
    <w:rsid w:val="2426102C"/>
    <w:rsid w:val="24266AE5"/>
    <w:rsid w:val="24284DA4"/>
    <w:rsid w:val="2429042B"/>
    <w:rsid w:val="242B03F0"/>
    <w:rsid w:val="242C008F"/>
    <w:rsid w:val="242D4168"/>
    <w:rsid w:val="242F46A1"/>
    <w:rsid w:val="242F6132"/>
    <w:rsid w:val="24305A06"/>
    <w:rsid w:val="2432352D"/>
    <w:rsid w:val="243506CB"/>
    <w:rsid w:val="24374FE7"/>
    <w:rsid w:val="243A0633"/>
    <w:rsid w:val="243C25FD"/>
    <w:rsid w:val="243E0123"/>
    <w:rsid w:val="2443398C"/>
    <w:rsid w:val="2443573A"/>
    <w:rsid w:val="24455956"/>
    <w:rsid w:val="24457704"/>
    <w:rsid w:val="24466FD8"/>
    <w:rsid w:val="24486BAE"/>
    <w:rsid w:val="244A6AC8"/>
    <w:rsid w:val="244B2840"/>
    <w:rsid w:val="244C0D1F"/>
    <w:rsid w:val="244D480A"/>
    <w:rsid w:val="244E37C0"/>
    <w:rsid w:val="244F0582"/>
    <w:rsid w:val="244F2331"/>
    <w:rsid w:val="24507E57"/>
    <w:rsid w:val="245331CC"/>
    <w:rsid w:val="24545B99"/>
    <w:rsid w:val="24547947"/>
    <w:rsid w:val="2455546D"/>
    <w:rsid w:val="245711E5"/>
    <w:rsid w:val="24572F93"/>
    <w:rsid w:val="245B6F27"/>
    <w:rsid w:val="245C0466"/>
    <w:rsid w:val="245C67FB"/>
    <w:rsid w:val="245E4322"/>
    <w:rsid w:val="245F176F"/>
    <w:rsid w:val="246102B6"/>
    <w:rsid w:val="24616C60"/>
    <w:rsid w:val="24644151"/>
    <w:rsid w:val="246758CC"/>
    <w:rsid w:val="24687A7E"/>
    <w:rsid w:val="246A53BC"/>
    <w:rsid w:val="246A716A"/>
    <w:rsid w:val="246B6A3F"/>
    <w:rsid w:val="246C379A"/>
    <w:rsid w:val="246D6C5B"/>
    <w:rsid w:val="246F3E35"/>
    <w:rsid w:val="247104F9"/>
    <w:rsid w:val="24727DCD"/>
    <w:rsid w:val="24741D97"/>
    <w:rsid w:val="247578BD"/>
    <w:rsid w:val="24761137"/>
    <w:rsid w:val="24765B0F"/>
    <w:rsid w:val="24771887"/>
    <w:rsid w:val="2479115B"/>
    <w:rsid w:val="247955FF"/>
    <w:rsid w:val="247A1AA1"/>
    <w:rsid w:val="247B3126"/>
    <w:rsid w:val="247F0D59"/>
    <w:rsid w:val="2483022C"/>
    <w:rsid w:val="2483647E"/>
    <w:rsid w:val="24855D52"/>
    <w:rsid w:val="2485605B"/>
    <w:rsid w:val="24877D1C"/>
    <w:rsid w:val="248A3369"/>
    <w:rsid w:val="248A5117"/>
    <w:rsid w:val="248B0E8F"/>
    <w:rsid w:val="248B7883"/>
    <w:rsid w:val="248D2E59"/>
    <w:rsid w:val="248F4459"/>
    <w:rsid w:val="248F710D"/>
    <w:rsid w:val="24912949"/>
    <w:rsid w:val="249146F7"/>
    <w:rsid w:val="2492221D"/>
    <w:rsid w:val="24942439"/>
    <w:rsid w:val="24973CD7"/>
    <w:rsid w:val="24977834"/>
    <w:rsid w:val="249A5961"/>
    <w:rsid w:val="249A6DF1"/>
    <w:rsid w:val="249B03D4"/>
    <w:rsid w:val="249B19C2"/>
    <w:rsid w:val="249C4E4A"/>
    <w:rsid w:val="24A106B2"/>
    <w:rsid w:val="24A26904"/>
    <w:rsid w:val="24A32EE9"/>
    <w:rsid w:val="24A51F50"/>
    <w:rsid w:val="24AA57B9"/>
    <w:rsid w:val="24AC106B"/>
    <w:rsid w:val="24AC6D44"/>
    <w:rsid w:val="24AE34FB"/>
    <w:rsid w:val="24AF7273"/>
    <w:rsid w:val="24B228BF"/>
    <w:rsid w:val="24B403E6"/>
    <w:rsid w:val="24B44889"/>
    <w:rsid w:val="24B65F0C"/>
    <w:rsid w:val="24B67467"/>
    <w:rsid w:val="24B77ED6"/>
    <w:rsid w:val="24BB5C18"/>
    <w:rsid w:val="24C001EA"/>
    <w:rsid w:val="24C10D89"/>
    <w:rsid w:val="24C148B0"/>
    <w:rsid w:val="24C22B02"/>
    <w:rsid w:val="24C525F3"/>
    <w:rsid w:val="24C7636B"/>
    <w:rsid w:val="24C77D7F"/>
    <w:rsid w:val="24C90335"/>
    <w:rsid w:val="24CA19B7"/>
    <w:rsid w:val="24CD11E7"/>
    <w:rsid w:val="24CF521F"/>
    <w:rsid w:val="24CF6FCD"/>
    <w:rsid w:val="24D171E9"/>
    <w:rsid w:val="24D6035C"/>
    <w:rsid w:val="24D740D4"/>
    <w:rsid w:val="24D82326"/>
    <w:rsid w:val="24DB3BC4"/>
    <w:rsid w:val="24DD79C5"/>
    <w:rsid w:val="24DF4CB7"/>
    <w:rsid w:val="24E011DB"/>
    <w:rsid w:val="24E0567E"/>
    <w:rsid w:val="24E46F1D"/>
    <w:rsid w:val="24E707BB"/>
    <w:rsid w:val="24E8008F"/>
    <w:rsid w:val="24E94533"/>
    <w:rsid w:val="24EE225B"/>
    <w:rsid w:val="24EE7D9B"/>
    <w:rsid w:val="24EF141E"/>
    <w:rsid w:val="24EF7670"/>
    <w:rsid w:val="24F1163A"/>
    <w:rsid w:val="24F15196"/>
    <w:rsid w:val="24F3399B"/>
    <w:rsid w:val="24F829C8"/>
    <w:rsid w:val="24FA6740"/>
    <w:rsid w:val="24FD3B3B"/>
    <w:rsid w:val="25001A40"/>
    <w:rsid w:val="2500362B"/>
    <w:rsid w:val="25007ACF"/>
    <w:rsid w:val="25021151"/>
    <w:rsid w:val="25030E1F"/>
    <w:rsid w:val="2504136D"/>
    <w:rsid w:val="25096983"/>
    <w:rsid w:val="250C7BDD"/>
    <w:rsid w:val="25102EC3"/>
    <w:rsid w:val="25113A8A"/>
    <w:rsid w:val="25137802"/>
    <w:rsid w:val="25145328"/>
    <w:rsid w:val="25146FE6"/>
    <w:rsid w:val="25164BFC"/>
    <w:rsid w:val="25180974"/>
    <w:rsid w:val="251B1717"/>
    <w:rsid w:val="251D242F"/>
    <w:rsid w:val="25203CCD"/>
    <w:rsid w:val="252235A1"/>
    <w:rsid w:val="25270BB7"/>
    <w:rsid w:val="2527505B"/>
    <w:rsid w:val="252966D9"/>
    <w:rsid w:val="252D19F8"/>
    <w:rsid w:val="252D7E52"/>
    <w:rsid w:val="252E1F46"/>
    <w:rsid w:val="252E63EA"/>
    <w:rsid w:val="25311A36"/>
    <w:rsid w:val="25324DCD"/>
    <w:rsid w:val="25333A00"/>
    <w:rsid w:val="2533755C"/>
    <w:rsid w:val="25341526"/>
    <w:rsid w:val="253634F0"/>
    <w:rsid w:val="25370C3F"/>
    <w:rsid w:val="253870B0"/>
    <w:rsid w:val="25387269"/>
    <w:rsid w:val="253908EB"/>
    <w:rsid w:val="25396B3D"/>
    <w:rsid w:val="253B2191"/>
    <w:rsid w:val="253B28B5"/>
    <w:rsid w:val="253B2B50"/>
    <w:rsid w:val="253D03DB"/>
    <w:rsid w:val="253D487F"/>
    <w:rsid w:val="25407ECB"/>
    <w:rsid w:val="25423C43"/>
    <w:rsid w:val="254309C2"/>
    <w:rsid w:val="25441769"/>
    <w:rsid w:val="25457FB6"/>
    <w:rsid w:val="25461985"/>
    <w:rsid w:val="25462670"/>
    <w:rsid w:val="25470E2F"/>
    <w:rsid w:val="25473008"/>
    <w:rsid w:val="254742AE"/>
    <w:rsid w:val="254C2D14"/>
    <w:rsid w:val="254C6FAD"/>
    <w:rsid w:val="254D45A6"/>
    <w:rsid w:val="254E25E8"/>
    <w:rsid w:val="2551032A"/>
    <w:rsid w:val="25513E86"/>
    <w:rsid w:val="255A0F8D"/>
    <w:rsid w:val="255A71DF"/>
    <w:rsid w:val="255B6AB3"/>
    <w:rsid w:val="255C2C0B"/>
    <w:rsid w:val="2561056D"/>
    <w:rsid w:val="256107E0"/>
    <w:rsid w:val="25626093"/>
    <w:rsid w:val="2564005E"/>
    <w:rsid w:val="25641E0C"/>
    <w:rsid w:val="25643BBA"/>
    <w:rsid w:val="256516E0"/>
    <w:rsid w:val="25695674"/>
    <w:rsid w:val="256C0CC0"/>
    <w:rsid w:val="256C2A6E"/>
    <w:rsid w:val="256E2C8A"/>
    <w:rsid w:val="256E7466"/>
    <w:rsid w:val="256E7B04"/>
    <w:rsid w:val="256F255E"/>
    <w:rsid w:val="25710085"/>
    <w:rsid w:val="257162D7"/>
    <w:rsid w:val="25722260"/>
    <w:rsid w:val="25757B75"/>
    <w:rsid w:val="25761B3F"/>
    <w:rsid w:val="25762D04"/>
    <w:rsid w:val="257638ED"/>
    <w:rsid w:val="25777D91"/>
    <w:rsid w:val="25781413"/>
    <w:rsid w:val="25787665"/>
    <w:rsid w:val="257B0F03"/>
    <w:rsid w:val="257B532B"/>
    <w:rsid w:val="257C53A7"/>
    <w:rsid w:val="257D111F"/>
    <w:rsid w:val="257D2ECD"/>
    <w:rsid w:val="257F27A2"/>
    <w:rsid w:val="25827457"/>
    <w:rsid w:val="25836860"/>
    <w:rsid w:val="2583719A"/>
    <w:rsid w:val="2584425C"/>
    <w:rsid w:val="2584600A"/>
    <w:rsid w:val="2584633F"/>
    <w:rsid w:val="25853B30"/>
    <w:rsid w:val="258778A8"/>
    <w:rsid w:val="258C1362"/>
    <w:rsid w:val="258E50DA"/>
    <w:rsid w:val="25902C01"/>
    <w:rsid w:val="25911BD2"/>
    <w:rsid w:val="259124D5"/>
    <w:rsid w:val="25916979"/>
    <w:rsid w:val="259455FA"/>
    <w:rsid w:val="25951FC5"/>
    <w:rsid w:val="25981AB5"/>
    <w:rsid w:val="259A3443"/>
    <w:rsid w:val="259A3A7F"/>
    <w:rsid w:val="259A7ABD"/>
    <w:rsid w:val="259D3570"/>
    <w:rsid w:val="259D70CC"/>
    <w:rsid w:val="259F4BF2"/>
    <w:rsid w:val="25A24115"/>
    <w:rsid w:val="25A33E79"/>
    <w:rsid w:val="25A466AC"/>
    <w:rsid w:val="25A95A70"/>
    <w:rsid w:val="25AB3597"/>
    <w:rsid w:val="25AB7A3A"/>
    <w:rsid w:val="25AD37B3"/>
    <w:rsid w:val="25AE6518"/>
    <w:rsid w:val="25B12B77"/>
    <w:rsid w:val="25B34B41"/>
    <w:rsid w:val="25B368EF"/>
    <w:rsid w:val="25B763DF"/>
    <w:rsid w:val="25B93EF3"/>
    <w:rsid w:val="25BA1A2C"/>
    <w:rsid w:val="25BC1C48"/>
    <w:rsid w:val="25BC57A4"/>
    <w:rsid w:val="25BD4805"/>
    <w:rsid w:val="25C278E1"/>
    <w:rsid w:val="25C32FD6"/>
    <w:rsid w:val="25C40AFC"/>
    <w:rsid w:val="25C44658"/>
    <w:rsid w:val="25C61BC9"/>
    <w:rsid w:val="25C66FF8"/>
    <w:rsid w:val="25C74149"/>
    <w:rsid w:val="25C96113"/>
    <w:rsid w:val="25CB1E8B"/>
    <w:rsid w:val="25CB3C39"/>
    <w:rsid w:val="25CB59E7"/>
    <w:rsid w:val="25D16D75"/>
    <w:rsid w:val="25D23219"/>
    <w:rsid w:val="25D56865"/>
    <w:rsid w:val="25D616BE"/>
    <w:rsid w:val="25D6438C"/>
    <w:rsid w:val="25DA0320"/>
    <w:rsid w:val="25DB7D8E"/>
    <w:rsid w:val="25DC5E46"/>
    <w:rsid w:val="25DC7BF4"/>
    <w:rsid w:val="25DD69C0"/>
    <w:rsid w:val="25DE13C8"/>
    <w:rsid w:val="25E17E34"/>
    <w:rsid w:val="25E35426"/>
    <w:rsid w:val="25E62821"/>
    <w:rsid w:val="25E92392"/>
    <w:rsid w:val="25EB3895"/>
    <w:rsid w:val="25EB42DB"/>
    <w:rsid w:val="25ED3C47"/>
    <w:rsid w:val="25EE48CB"/>
    <w:rsid w:val="25EE7927"/>
    <w:rsid w:val="25EF3DCB"/>
    <w:rsid w:val="25F018F1"/>
    <w:rsid w:val="25F0369F"/>
    <w:rsid w:val="25F25669"/>
    <w:rsid w:val="25F27417"/>
    <w:rsid w:val="25F80363"/>
    <w:rsid w:val="25F82554"/>
    <w:rsid w:val="25F8534E"/>
    <w:rsid w:val="25FC0296"/>
    <w:rsid w:val="25FC34E4"/>
    <w:rsid w:val="25FD5DBC"/>
    <w:rsid w:val="25FE400E"/>
    <w:rsid w:val="25FF7D86"/>
    <w:rsid w:val="2601765A"/>
    <w:rsid w:val="260333D3"/>
    <w:rsid w:val="26034D00"/>
    <w:rsid w:val="2604714B"/>
    <w:rsid w:val="26054B71"/>
    <w:rsid w:val="260839BC"/>
    <w:rsid w:val="260B04D9"/>
    <w:rsid w:val="260B3AF2"/>
    <w:rsid w:val="260D5FFF"/>
    <w:rsid w:val="260E7FC9"/>
    <w:rsid w:val="26123616"/>
    <w:rsid w:val="261455E0"/>
    <w:rsid w:val="261513AF"/>
    <w:rsid w:val="26153106"/>
    <w:rsid w:val="2617030E"/>
    <w:rsid w:val="26187323"/>
    <w:rsid w:val="26190E48"/>
    <w:rsid w:val="261B5221"/>
    <w:rsid w:val="261C6242"/>
    <w:rsid w:val="261D3E53"/>
    <w:rsid w:val="261E020C"/>
    <w:rsid w:val="261E2712"/>
    <w:rsid w:val="26211AAB"/>
    <w:rsid w:val="26220F7D"/>
    <w:rsid w:val="262275D1"/>
    <w:rsid w:val="26263A75"/>
    <w:rsid w:val="26284BE7"/>
    <w:rsid w:val="2629095F"/>
    <w:rsid w:val="262C5B42"/>
    <w:rsid w:val="262D044F"/>
    <w:rsid w:val="262D48F3"/>
    <w:rsid w:val="262E41C8"/>
    <w:rsid w:val="262F241A"/>
    <w:rsid w:val="26301CEE"/>
    <w:rsid w:val="26307F40"/>
    <w:rsid w:val="26321F0A"/>
    <w:rsid w:val="26323CB8"/>
    <w:rsid w:val="26325A66"/>
    <w:rsid w:val="263317DE"/>
    <w:rsid w:val="263527F3"/>
    <w:rsid w:val="263623ED"/>
    <w:rsid w:val="2637307C"/>
    <w:rsid w:val="26393298"/>
    <w:rsid w:val="263B5F44"/>
    <w:rsid w:val="263B7010"/>
    <w:rsid w:val="263C0693"/>
    <w:rsid w:val="263C7249"/>
    <w:rsid w:val="263D007F"/>
    <w:rsid w:val="263E4BC6"/>
    <w:rsid w:val="263F0183"/>
    <w:rsid w:val="263F660E"/>
    <w:rsid w:val="2641067D"/>
    <w:rsid w:val="2641214D"/>
    <w:rsid w:val="26415CA9"/>
    <w:rsid w:val="26467763"/>
    <w:rsid w:val="264C5790"/>
    <w:rsid w:val="264D28A0"/>
    <w:rsid w:val="264D464E"/>
    <w:rsid w:val="264F36B7"/>
    <w:rsid w:val="265005E2"/>
    <w:rsid w:val="2650413E"/>
    <w:rsid w:val="265064E5"/>
    <w:rsid w:val="26527EB6"/>
    <w:rsid w:val="26591245"/>
    <w:rsid w:val="265C2AE3"/>
    <w:rsid w:val="265C4C6F"/>
    <w:rsid w:val="265E0436"/>
    <w:rsid w:val="265E1035"/>
    <w:rsid w:val="265E2CFF"/>
    <w:rsid w:val="26606A77"/>
    <w:rsid w:val="266320C3"/>
    <w:rsid w:val="26634159"/>
    <w:rsid w:val="266570D9"/>
    <w:rsid w:val="26676E0F"/>
    <w:rsid w:val="2668592C"/>
    <w:rsid w:val="266A16A4"/>
    <w:rsid w:val="266B0F78"/>
    <w:rsid w:val="266B541C"/>
    <w:rsid w:val="266D6A9E"/>
    <w:rsid w:val="2670344A"/>
    <w:rsid w:val="26712A32"/>
    <w:rsid w:val="26720558"/>
    <w:rsid w:val="26722306"/>
    <w:rsid w:val="2674607E"/>
    <w:rsid w:val="26747E2C"/>
    <w:rsid w:val="26751DF6"/>
    <w:rsid w:val="26753BA5"/>
    <w:rsid w:val="267609FD"/>
    <w:rsid w:val="26797B39"/>
    <w:rsid w:val="267A11BB"/>
    <w:rsid w:val="267A3133"/>
    <w:rsid w:val="267A740D"/>
    <w:rsid w:val="267C4F33"/>
    <w:rsid w:val="267E0CAB"/>
    <w:rsid w:val="26802C75"/>
    <w:rsid w:val="26834513"/>
    <w:rsid w:val="26855A4F"/>
    <w:rsid w:val="268631CA"/>
    <w:rsid w:val="26865DB2"/>
    <w:rsid w:val="268A3AF4"/>
    <w:rsid w:val="268A58A2"/>
    <w:rsid w:val="268D0EEE"/>
    <w:rsid w:val="268D7140"/>
    <w:rsid w:val="268F110A"/>
    <w:rsid w:val="268F16F6"/>
    <w:rsid w:val="268F456F"/>
    <w:rsid w:val="268F4C66"/>
    <w:rsid w:val="26926505"/>
    <w:rsid w:val="269404CF"/>
    <w:rsid w:val="26962499"/>
    <w:rsid w:val="26971D6D"/>
    <w:rsid w:val="26977FBF"/>
    <w:rsid w:val="26992656"/>
    <w:rsid w:val="269B7AAF"/>
    <w:rsid w:val="269C0568"/>
    <w:rsid w:val="269C55D5"/>
    <w:rsid w:val="269E5328"/>
    <w:rsid w:val="269E759F"/>
    <w:rsid w:val="269F0C21"/>
    <w:rsid w:val="26A050C5"/>
    <w:rsid w:val="26A30712"/>
    <w:rsid w:val="26A34BB6"/>
    <w:rsid w:val="26A362D9"/>
    <w:rsid w:val="26A526DC"/>
    <w:rsid w:val="26A76454"/>
    <w:rsid w:val="26A80CBB"/>
    <w:rsid w:val="26AA02F7"/>
    <w:rsid w:val="26AB5818"/>
    <w:rsid w:val="26AD77E2"/>
    <w:rsid w:val="26AF5308"/>
    <w:rsid w:val="26B134AE"/>
    <w:rsid w:val="26B20955"/>
    <w:rsid w:val="26B4291F"/>
    <w:rsid w:val="26B4725E"/>
    <w:rsid w:val="26B741BD"/>
    <w:rsid w:val="26B96187"/>
    <w:rsid w:val="26BB3CAD"/>
    <w:rsid w:val="26BE2EE1"/>
    <w:rsid w:val="26BE554B"/>
    <w:rsid w:val="26BE72FA"/>
    <w:rsid w:val="26C03072"/>
    <w:rsid w:val="26C07516"/>
    <w:rsid w:val="26C1503C"/>
    <w:rsid w:val="26C317D6"/>
    <w:rsid w:val="26C52DB4"/>
    <w:rsid w:val="26C708A4"/>
    <w:rsid w:val="26CA3EF0"/>
    <w:rsid w:val="26CC00B6"/>
    <w:rsid w:val="26CC10B7"/>
    <w:rsid w:val="26CC5EBA"/>
    <w:rsid w:val="26CD1C32"/>
    <w:rsid w:val="26CD578F"/>
    <w:rsid w:val="26CD66C9"/>
    <w:rsid w:val="26CE6247"/>
    <w:rsid w:val="26CF1507"/>
    <w:rsid w:val="26CF73F0"/>
    <w:rsid w:val="26D1527F"/>
    <w:rsid w:val="26D60AE7"/>
    <w:rsid w:val="26D703BB"/>
    <w:rsid w:val="26D7660D"/>
    <w:rsid w:val="26D94133"/>
    <w:rsid w:val="26DB434F"/>
    <w:rsid w:val="26DE799C"/>
    <w:rsid w:val="26E03714"/>
    <w:rsid w:val="26E1123A"/>
    <w:rsid w:val="26E256DE"/>
    <w:rsid w:val="26E2748C"/>
    <w:rsid w:val="26E36D60"/>
    <w:rsid w:val="26E66850"/>
    <w:rsid w:val="26E72CF4"/>
    <w:rsid w:val="26E825C8"/>
    <w:rsid w:val="26E86313"/>
    <w:rsid w:val="26EA27E4"/>
    <w:rsid w:val="26EC20B9"/>
    <w:rsid w:val="26ED7BDF"/>
    <w:rsid w:val="26F606C4"/>
    <w:rsid w:val="26F62F37"/>
    <w:rsid w:val="26F70A5D"/>
    <w:rsid w:val="26F86CAF"/>
    <w:rsid w:val="26F92A28"/>
    <w:rsid w:val="27015B5E"/>
    <w:rsid w:val="27032D56"/>
    <w:rsid w:val="27035654"/>
    <w:rsid w:val="27037402"/>
    <w:rsid w:val="27046DB7"/>
    <w:rsid w:val="27084A19"/>
    <w:rsid w:val="270C3243"/>
    <w:rsid w:val="270F5DA7"/>
    <w:rsid w:val="27115070"/>
    <w:rsid w:val="271167EA"/>
    <w:rsid w:val="2713110A"/>
    <w:rsid w:val="27135897"/>
    <w:rsid w:val="271635D9"/>
    <w:rsid w:val="27165388"/>
    <w:rsid w:val="27167136"/>
    <w:rsid w:val="271742D6"/>
    <w:rsid w:val="27181100"/>
    <w:rsid w:val="27196C26"/>
    <w:rsid w:val="271B0BF0"/>
    <w:rsid w:val="271B246D"/>
    <w:rsid w:val="271C080C"/>
    <w:rsid w:val="271C2272"/>
    <w:rsid w:val="271E248E"/>
    <w:rsid w:val="271E423C"/>
    <w:rsid w:val="271F6B87"/>
    <w:rsid w:val="27201D62"/>
    <w:rsid w:val="27223D2C"/>
    <w:rsid w:val="27231852"/>
    <w:rsid w:val="27247AA4"/>
    <w:rsid w:val="27286E69"/>
    <w:rsid w:val="27297642"/>
    <w:rsid w:val="272A2BE1"/>
    <w:rsid w:val="272E7452"/>
    <w:rsid w:val="27315D1D"/>
    <w:rsid w:val="27321A96"/>
    <w:rsid w:val="273332C4"/>
    <w:rsid w:val="2734580E"/>
    <w:rsid w:val="27361586"/>
    <w:rsid w:val="27363334"/>
    <w:rsid w:val="273677D8"/>
    <w:rsid w:val="273830D5"/>
    <w:rsid w:val="273852FE"/>
    <w:rsid w:val="27391076"/>
    <w:rsid w:val="27392E24"/>
    <w:rsid w:val="273A72C8"/>
    <w:rsid w:val="273B3040"/>
    <w:rsid w:val="273E043A"/>
    <w:rsid w:val="273E668C"/>
    <w:rsid w:val="273F48DE"/>
    <w:rsid w:val="27400656"/>
    <w:rsid w:val="274041B2"/>
    <w:rsid w:val="27435A51"/>
    <w:rsid w:val="274517C9"/>
    <w:rsid w:val="27457A1B"/>
    <w:rsid w:val="27473793"/>
    <w:rsid w:val="27475541"/>
    <w:rsid w:val="27483067"/>
    <w:rsid w:val="274A6DDF"/>
    <w:rsid w:val="274B7E0A"/>
    <w:rsid w:val="274C6FFB"/>
    <w:rsid w:val="274E2D73"/>
    <w:rsid w:val="274E4B21"/>
    <w:rsid w:val="274E52FB"/>
    <w:rsid w:val="274E68CF"/>
    <w:rsid w:val="274F43F6"/>
    <w:rsid w:val="275110AB"/>
    <w:rsid w:val="27514612"/>
    <w:rsid w:val="27545EB0"/>
    <w:rsid w:val="27565784"/>
    <w:rsid w:val="275859A0"/>
    <w:rsid w:val="275D2BA4"/>
    <w:rsid w:val="27647521"/>
    <w:rsid w:val="27675EA2"/>
    <w:rsid w:val="276A7481"/>
    <w:rsid w:val="276E0D20"/>
    <w:rsid w:val="276E51C4"/>
    <w:rsid w:val="277025E4"/>
    <w:rsid w:val="27702CEA"/>
    <w:rsid w:val="277161B0"/>
    <w:rsid w:val="27716A62"/>
    <w:rsid w:val="27736336"/>
    <w:rsid w:val="2778394C"/>
    <w:rsid w:val="27786E27"/>
    <w:rsid w:val="277A3B68"/>
    <w:rsid w:val="277C5D78"/>
    <w:rsid w:val="277D0738"/>
    <w:rsid w:val="277D0F63"/>
    <w:rsid w:val="277D71B5"/>
    <w:rsid w:val="277F4129"/>
    <w:rsid w:val="27817354"/>
    <w:rsid w:val="278422F1"/>
    <w:rsid w:val="27852B6C"/>
    <w:rsid w:val="27857F9B"/>
    <w:rsid w:val="278E4F1E"/>
    <w:rsid w:val="278F0C96"/>
    <w:rsid w:val="278F3C1E"/>
    <w:rsid w:val="27901BC1"/>
    <w:rsid w:val="27910EB2"/>
    <w:rsid w:val="27912C60"/>
    <w:rsid w:val="279309B8"/>
    <w:rsid w:val="279462AC"/>
    <w:rsid w:val="27983FEE"/>
    <w:rsid w:val="279A1B15"/>
    <w:rsid w:val="279B3ADF"/>
    <w:rsid w:val="279D33B3"/>
    <w:rsid w:val="279F35CF"/>
    <w:rsid w:val="27A110F5"/>
    <w:rsid w:val="27A24D7A"/>
    <w:rsid w:val="27A26C1B"/>
    <w:rsid w:val="27A504B9"/>
    <w:rsid w:val="27A72484"/>
    <w:rsid w:val="27A91D58"/>
    <w:rsid w:val="27A97FAA"/>
    <w:rsid w:val="27AB1CB6"/>
    <w:rsid w:val="27B32BD6"/>
    <w:rsid w:val="27B5050A"/>
    <w:rsid w:val="27B626C7"/>
    <w:rsid w:val="27B801ED"/>
    <w:rsid w:val="27B84691"/>
    <w:rsid w:val="27B92596"/>
    <w:rsid w:val="27BB0DA8"/>
    <w:rsid w:val="27BD3A55"/>
    <w:rsid w:val="27C06CD0"/>
    <w:rsid w:val="27C070A1"/>
    <w:rsid w:val="27C13545"/>
    <w:rsid w:val="27C2106B"/>
    <w:rsid w:val="27C22E19"/>
    <w:rsid w:val="27C43035"/>
    <w:rsid w:val="27C9064C"/>
    <w:rsid w:val="27C941A8"/>
    <w:rsid w:val="27CC6467"/>
    <w:rsid w:val="27D03788"/>
    <w:rsid w:val="27D33279"/>
    <w:rsid w:val="27D50D9F"/>
    <w:rsid w:val="27D52B4D"/>
    <w:rsid w:val="27D56FF1"/>
    <w:rsid w:val="27D8026B"/>
    <w:rsid w:val="27D843EB"/>
    <w:rsid w:val="27D86AE1"/>
    <w:rsid w:val="27DA63B5"/>
    <w:rsid w:val="27DC0AE4"/>
    <w:rsid w:val="27DD40F7"/>
    <w:rsid w:val="27DD5EA5"/>
    <w:rsid w:val="27DD7C53"/>
    <w:rsid w:val="27DF5779"/>
    <w:rsid w:val="27E47234"/>
    <w:rsid w:val="27E67E69"/>
    <w:rsid w:val="27E82228"/>
    <w:rsid w:val="27E9484A"/>
    <w:rsid w:val="27E965F8"/>
    <w:rsid w:val="27EA2C32"/>
    <w:rsid w:val="27EB05C2"/>
    <w:rsid w:val="27EB2370"/>
    <w:rsid w:val="27EB411E"/>
    <w:rsid w:val="27EE1E60"/>
    <w:rsid w:val="27EE3C0E"/>
    <w:rsid w:val="27EF6F5A"/>
    <w:rsid w:val="27F07987"/>
    <w:rsid w:val="27F702BD"/>
    <w:rsid w:val="27F76F67"/>
    <w:rsid w:val="27F82CDF"/>
    <w:rsid w:val="27F84A8D"/>
    <w:rsid w:val="27F966F1"/>
    <w:rsid w:val="27FA6A57"/>
    <w:rsid w:val="27FC00CE"/>
    <w:rsid w:val="27FC457D"/>
    <w:rsid w:val="27FD02F5"/>
    <w:rsid w:val="27FF7BCA"/>
    <w:rsid w:val="28017DE6"/>
    <w:rsid w:val="28043432"/>
    <w:rsid w:val="280451E0"/>
    <w:rsid w:val="28060F58"/>
    <w:rsid w:val="280653FC"/>
    <w:rsid w:val="28072F22"/>
    <w:rsid w:val="28081174"/>
    <w:rsid w:val="2810627B"/>
    <w:rsid w:val="28131C63"/>
    <w:rsid w:val="28136333"/>
    <w:rsid w:val="281C077C"/>
    <w:rsid w:val="28212236"/>
    <w:rsid w:val="28215D92"/>
    <w:rsid w:val="28221B0A"/>
    <w:rsid w:val="28247630"/>
    <w:rsid w:val="28256341"/>
    <w:rsid w:val="2828082C"/>
    <w:rsid w:val="282835C4"/>
    <w:rsid w:val="28285372"/>
    <w:rsid w:val="282B09BF"/>
    <w:rsid w:val="282F5B2E"/>
    <w:rsid w:val="28305FD5"/>
    <w:rsid w:val="28321D4D"/>
    <w:rsid w:val="283261F1"/>
    <w:rsid w:val="2835025F"/>
    <w:rsid w:val="2835183D"/>
    <w:rsid w:val="28357A8F"/>
    <w:rsid w:val="28392256"/>
    <w:rsid w:val="2839380C"/>
    <w:rsid w:val="283A32F8"/>
    <w:rsid w:val="283A6E54"/>
    <w:rsid w:val="283C0E1E"/>
    <w:rsid w:val="283D69F1"/>
    <w:rsid w:val="283E6521"/>
    <w:rsid w:val="283F26BC"/>
    <w:rsid w:val="284020F7"/>
    <w:rsid w:val="284113D3"/>
    <w:rsid w:val="28425D08"/>
    <w:rsid w:val="284321AC"/>
    <w:rsid w:val="28446343"/>
    <w:rsid w:val="284657F9"/>
    <w:rsid w:val="284B1061"/>
    <w:rsid w:val="284D4DD9"/>
    <w:rsid w:val="284E28FF"/>
    <w:rsid w:val="28520641"/>
    <w:rsid w:val="285223EF"/>
    <w:rsid w:val="28550131"/>
    <w:rsid w:val="28553C8E"/>
    <w:rsid w:val="285717B4"/>
    <w:rsid w:val="285919D0"/>
    <w:rsid w:val="285A12A4"/>
    <w:rsid w:val="285A74F6"/>
    <w:rsid w:val="285B23AE"/>
    <w:rsid w:val="285C326E"/>
    <w:rsid w:val="285C501C"/>
    <w:rsid w:val="285D2B42"/>
    <w:rsid w:val="28650375"/>
    <w:rsid w:val="286640ED"/>
    <w:rsid w:val="286730EE"/>
    <w:rsid w:val="286914E7"/>
    <w:rsid w:val="286A05DF"/>
    <w:rsid w:val="286B525F"/>
    <w:rsid w:val="286B52E0"/>
    <w:rsid w:val="286E6AFD"/>
    <w:rsid w:val="28724840"/>
    <w:rsid w:val="28732366"/>
    <w:rsid w:val="287560DE"/>
    <w:rsid w:val="2879797C"/>
    <w:rsid w:val="287A1946"/>
    <w:rsid w:val="287C746C"/>
    <w:rsid w:val="287E4F92"/>
    <w:rsid w:val="287E64FF"/>
    <w:rsid w:val="287F6F5C"/>
    <w:rsid w:val="287F7A4B"/>
    <w:rsid w:val="28836A4D"/>
    <w:rsid w:val="288527C5"/>
    <w:rsid w:val="2887212D"/>
    <w:rsid w:val="28896A8E"/>
    <w:rsid w:val="288A7DDB"/>
    <w:rsid w:val="289447B6"/>
    <w:rsid w:val="28981F1C"/>
    <w:rsid w:val="289E73E3"/>
    <w:rsid w:val="289F315B"/>
    <w:rsid w:val="28A15A4A"/>
    <w:rsid w:val="28A16C58"/>
    <w:rsid w:val="28A16ED3"/>
    <w:rsid w:val="28A30E9D"/>
    <w:rsid w:val="28A32C4B"/>
    <w:rsid w:val="28A54C15"/>
    <w:rsid w:val="28A644E9"/>
    <w:rsid w:val="28A8200F"/>
    <w:rsid w:val="28AB41A0"/>
    <w:rsid w:val="28AF339E"/>
    <w:rsid w:val="28AF35C6"/>
    <w:rsid w:val="28B07116"/>
    <w:rsid w:val="28B5297E"/>
    <w:rsid w:val="28B704A4"/>
    <w:rsid w:val="28B8032B"/>
    <w:rsid w:val="28B86934"/>
    <w:rsid w:val="28B9246E"/>
    <w:rsid w:val="28BC5ABB"/>
    <w:rsid w:val="28BF37A0"/>
    <w:rsid w:val="28C037FD"/>
    <w:rsid w:val="28C11127"/>
    <w:rsid w:val="28C3509B"/>
    <w:rsid w:val="28C36E49"/>
    <w:rsid w:val="28C52BC1"/>
    <w:rsid w:val="28C62AC5"/>
    <w:rsid w:val="28C64B8B"/>
    <w:rsid w:val="28C80903"/>
    <w:rsid w:val="28C8445F"/>
    <w:rsid w:val="28CA391A"/>
    <w:rsid w:val="28CD1A76"/>
    <w:rsid w:val="28CD7CC8"/>
    <w:rsid w:val="28CF1C92"/>
    <w:rsid w:val="28CF57EE"/>
    <w:rsid w:val="28D25F89"/>
    <w:rsid w:val="28D50537"/>
    <w:rsid w:val="28D63020"/>
    <w:rsid w:val="28D7334D"/>
    <w:rsid w:val="28DC0708"/>
    <w:rsid w:val="28DD1D90"/>
    <w:rsid w:val="28DE1ED5"/>
    <w:rsid w:val="28E05C4D"/>
    <w:rsid w:val="28E374EB"/>
    <w:rsid w:val="28E53263"/>
    <w:rsid w:val="28E55011"/>
    <w:rsid w:val="28E60D8A"/>
    <w:rsid w:val="28E72E42"/>
    <w:rsid w:val="28E86EA3"/>
    <w:rsid w:val="28E973EB"/>
    <w:rsid w:val="28EA2628"/>
    <w:rsid w:val="28EC5824"/>
    <w:rsid w:val="28EF7C3E"/>
    <w:rsid w:val="28F65471"/>
    <w:rsid w:val="28F74D45"/>
    <w:rsid w:val="28F811E9"/>
    <w:rsid w:val="28F86998"/>
    <w:rsid w:val="28F90ABD"/>
    <w:rsid w:val="28FE2577"/>
    <w:rsid w:val="2900009D"/>
    <w:rsid w:val="29003BF9"/>
    <w:rsid w:val="29015BC3"/>
    <w:rsid w:val="29020CD6"/>
    <w:rsid w:val="29037B8D"/>
    <w:rsid w:val="2907020B"/>
    <w:rsid w:val="29080D00"/>
    <w:rsid w:val="290851A4"/>
    <w:rsid w:val="290877C9"/>
    <w:rsid w:val="290A0441"/>
    <w:rsid w:val="290C4C94"/>
    <w:rsid w:val="290C4E0E"/>
    <w:rsid w:val="290C6A42"/>
    <w:rsid w:val="290E1FB6"/>
    <w:rsid w:val="290F208E"/>
    <w:rsid w:val="29114058"/>
    <w:rsid w:val="291458F7"/>
    <w:rsid w:val="29171565"/>
    <w:rsid w:val="291807B8"/>
    <w:rsid w:val="29192F0D"/>
    <w:rsid w:val="291B0A33"/>
    <w:rsid w:val="291B6C85"/>
    <w:rsid w:val="291E0523"/>
    <w:rsid w:val="291E22D1"/>
    <w:rsid w:val="291E49C7"/>
    <w:rsid w:val="291E69B1"/>
    <w:rsid w:val="291F1529"/>
    <w:rsid w:val="29207F2A"/>
    <w:rsid w:val="29233D8C"/>
    <w:rsid w:val="292518B2"/>
    <w:rsid w:val="2927387C"/>
    <w:rsid w:val="292A2A20"/>
    <w:rsid w:val="292A35F1"/>
    <w:rsid w:val="292A511A"/>
    <w:rsid w:val="292F0982"/>
    <w:rsid w:val="29312005"/>
    <w:rsid w:val="29323FCF"/>
    <w:rsid w:val="29325D7D"/>
    <w:rsid w:val="29341AF5"/>
    <w:rsid w:val="29346369"/>
    <w:rsid w:val="293715E5"/>
    <w:rsid w:val="293D4E4D"/>
    <w:rsid w:val="293D6BFB"/>
    <w:rsid w:val="293F79EC"/>
    <w:rsid w:val="294066EC"/>
    <w:rsid w:val="294206B6"/>
    <w:rsid w:val="29453D02"/>
    <w:rsid w:val="29455AB0"/>
    <w:rsid w:val="29471828"/>
    <w:rsid w:val="29475CCC"/>
    <w:rsid w:val="294855A0"/>
    <w:rsid w:val="294A1318"/>
    <w:rsid w:val="294B1BF2"/>
    <w:rsid w:val="294C6E3F"/>
    <w:rsid w:val="294D2BB7"/>
    <w:rsid w:val="294E18B8"/>
    <w:rsid w:val="294F692F"/>
    <w:rsid w:val="2953641F"/>
    <w:rsid w:val="295403E9"/>
    <w:rsid w:val="29565F0F"/>
    <w:rsid w:val="29567CBD"/>
    <w:rsid w:val="29575C73"/>
    <w:rsid w:val="29590F46"/>
    <w:rsid w:val="295C2DFA"/>
    <w:rsid w:val="295E4DC4"/>
    <w:rsid w:val="296028EA"/>
    <w:rsid w:val="29613037"/>
    <w:rsid w:val="29622B06"/>
    <w:rsid w:val="2963035C"/>
    <w:rsid w:val="29656152"/>
    <w:rsid w:val="2967011C"/>
    <w:rsid w:val="296711A1"/>
    <w:rsid w:val="296879F1"/>
    <w:rsid w:val="29693E94"/>
    <w:rsid w:val="296A19BB"/>
    <w:rsid w:val="296C5733"/>
    <w:rsid w:val="296E14AB"/>
    <w:rsid w:val="296F0D7F"/>
    <w:rsid w:val="296F6FD1"/>
    <w:rsid w:val="2973086F"/>
    <w:rsid w:val="29736AC1"/>
    <w:rsid w:val="297445E7"/>
    <w:rsid w:val="297638AE"/>
    <w:rsid w:val="29763EBB"/>
    <w:rsid w:val="29785E86"/>
    <w:rsid w:val="2979112F"/>
    <w:rsid w:val="297939AC"/>
    <w:rsid w:val="297B3BC8"/>
    <w:rsid w:val="297E088B"/>
    <w:rsid w:val="298011DE"/>
    <w:rsid w:val="29820AB2"/>
    <w:rsid w:val="29833889"/>
    <w:rsid w:val="298365D8"/>
    <w:rsid w:val="298505A2"/>
    <w:rsid w:val="298567F4"/>
    <w:rsid w:val="2987256D"/>
    <w:rsid w:val="298760C9"/>
    <w:rsid w:val="29883BEF"/>
    <w:rsid w:val="298A4358"/>
    <w:rsid w:val="298A7967"/>
    <w:rsid w:val="298C1EE1"/>
    <w:rsid w:val="298C78AB"/>
    <w:rsid w:val="298F31CF"/>
    <w:rsid w:val="298F4974"/>
    <w:rsid w:val="298F4ADE"/>
    <w:rsid w:val="29907A47"/>
    <w:rsid w:val="29910CF5"/>
    <w:rsid w:val="29930F11"/>
    <w:rsid w:val="29954C89"/>
    <w:rsid w:val="29955C15"/>
    <w:rsid w:val="29961AA4"/>
    <w:rsid w:val="2996455E"/>
    <w:rsid w:val="2996630C"/>
    <w:rsid w:val="299A22BA"/>
    <w:rsid w:val="299B28B1"/>
    <w:rsid w:val="299F78B6"/>
    <w:rsid w:val="29A0718A"/>
    <w:rsid w:val="29A24CB1"/>
    <w:rsid w:val="29A5570A"/>
    <w:rsid w:val="29A70519"/>
    <w:rsid w:val="29A749BD"/>
    <w:rsid w:val="29AA0DEC"/>
    <w:rsid w:val="29AA157C"/>
    <w:rsid w:val="29AC36EE"/>
    <w:rsid w:val="29AC5B2F"/>
    <w:rsid w:val="29AE2ACE"/>
    <w:rsid w:val="29AF561F"/>
    <w:rsid w:val="29B1124A"/>
    <w:rsid w:val="29B11398"/>
    <w:rsid w:val="29B13146"/>
    <w:rsid w:val="29B1687E"/>
    <w:rsid w:val="29B217B9"/>
    <w:rsid w:val="29B35110"/>
    <w:rsid w:val="29B449E4"/>
    <w:rsid w:val="29B82726"/>
    <w:rsid w:val="29B844D4"/>
    <w:rsid w:val="29BB2501"/>
    <w:rsid w:val="29BF3A53"/>
    <w:rsid w:val="29C115CC"/>
    <w:rsid w:val="29C32DCD"/>
    <w:rsid w:val="29C56BF1"/>
    <w:rsid w:val="29C73EC4"/>
    <w:rsid w:val="29CC15A3"/>
    <w:rsid w:val="29CC5744"/>
    <w:rsid w:val="29CC7F7F"/>
    <w:rsid w:val="29CE1F49"/>
    <w:rsid w:val="29CE3CF8"/>
    <w:rsid w:val="29CE5AA6"/>
    <w:rsid w:val="29D44611"/>
    <w:rsid w:val="29D532D8"/>
    <w:rsid w:val="29D56A0E"/>
    <w:rsid w:val="29D67050"/>
    <w:rsid w:val="29D84B76"/>
    <w:rsid w:val="29DA08EE"/>
    <w:rsid w:val="29DA5A8A"/>
    <w:rsid w:val="29DA6B40"/>
    <w:rsid w:val="29DB01C2"/>
    <w:rsid w:val="29DB03AA"/>
    <w:rsid w:val="29DB1DB9"/>
    <w:rsid w:val="29DD218D"/>
    <w:rsid w:val="29E057D9"/>
    <w:rsid w:val="29E11C7D"/>
    <w:rsid w:val="29E269C2"/>
    <w:rsid w:val="29E4170D"/>
    <w:rsid w:val="29E654E5"/>
    <w:rsid w:val="29E928DF"/>
    <w:rsid w:val="29EA6657"/>
    <w:rsid w:val="29EB2AFB"/>
    <w:rsid w:val="29EC6874"/>
    <w:rsid w:val="29EE7EF6"/>
    <w:rsid w:val="29EF2334"/>
    <w:rsid w:val="29EF3C6E"/>
    <w:rsid w:val="29F0067F"/>
    <w:rsid w:val="29F01EC0"/>
    <w:rsid w:val="29F0536A"/>
    <w:rsid w:val="29F23811"/>
    <w:rsid w:val="29F85218"/>
    <w:rsid w:val="29FA4AED"/>
    <w:rsid w:val="29FA689B"/>
    <w:rsid w:val="2A021BF3"/>
    <w:rsid w:val="2A0239A1"/>
    <w:rsid w:val="2A047719"/>
    <w:rsid w:val="2A0B6CFA"/>
    <w:rsid w:val="2A0D0CC4"/>
    <w:rsid w:val="2A0F07CB"/>
    <w:rsid w:val="2A0F7976"/>
    <w:rsid w:val="2A104310"/>
    <w:rsid w:val="2A1060BE"/>
    <w:rsid w:val="2A111E36"/>
    <w:rsid w:val="2A12304A"/>
    <w:rsid w:val="2A135BAE"/>
    <w:rsid w:val="2A157B78"/>
    <w:rsid w:val="2A1738F0"/>
    <w:rsid w:val="2A193D21"/>
    <w:rsid w:val="2A1D189D"/>
    <w:rsid w:val="2A1F1052"/>
    <w:rsid w:val="2A1F27A5"/>
    <w:rsid w:val="2A202079"/>
    <w:rsid w:val="2A211880"/>
    <w:rsid w:val="2A225DF1"/>
    <w:rsid w:val="2A247DBB"/>
    <w:rsid w:val="2A250C34"/>
    <w:rsid w:val="2A273408"/>
    <w:rsid w:val="2A275520"/>
    <w:rsid w:val="2A2B61C7"/>
    <w:rsid w:val="2A2B739C"/>
    <w:rsid w:val="2A2C0A1E"/>
    <w:rsid w:val="2A2D4EC2"/>
    <w:rsid w:val="2A2E29E8"/>
    <w:rsid w:val="2A3049B2"/>
    <w:rsid w:val="2A32072A"/>
    <w:rsid w:val="2A331DAD"/>
    <w:rsid w:val="2A336250"/>
    <w:rsid w:val="2A337FFE"/>
    <w:rsid w:val="2A353D77"/>
    <w:rsid w:val="2A383867"/>
    <w:rsid w:val="2A391AB9"/>
    <w:rsid w:val="2A3A7521"/>
    <w:rsid w:val="2A3F69A3"/>
    <w:rsid w:val="2A41271B"/>
    <w:rsid w:val="2A4144C9"/>
    <w:rsid w:val="2A420242"/>
    <w:rsid w:val="2A426494"/>
    <w:rsid w:val="2A4346E5"/>
    <w:rsid w:val="2A443FBA"/>
    <w:rsid w:val="2A446AAD"/>
    <w:rsid w:val="2A461AE0"/>
    <w:rsid w:val="2A461F39"/>
    <w:rsid w:val="2A467D32"/>
    <w:rsid w:val="2A475858"/>
    <w:rsid w:val="2A481CFC"/>
    <w:rsid w:val="2A48639C"/>
    <w:rsid w:val="2A4A0D9B"/>
    <w:rsid w:val="2A4B5348"/>
    <w:rsid w:val="2A4E308A"/>
    <w:rsid w:val="2A4E4E38"/>
    <w:rsid w:val="2A51704C"/>
    <w:rsid w:val="2A5561C7"/>
    <w:rsid w:val="2A557F75"/>
    <w:rsid w:val="2A561A2E"/>
    <w:rsid w:val="2A573CED"/>
    <w:rsid w:val="2A581813"/>
    <w:rsid w:val="2A585CB7"/>
    <w:rsid w:val="2A5A37DD"/>
    <w:rsid w:val="2A5A558B"/>
    <w:rsid w:val="2A5E151F"/>
    <w:rsid w:val="2A5F2BA2"/>
    <w:rsid w:val="2A5F7045"/>
    <w:rsid w:val="2A6308E4"/>
    <w:rsid w:val="2A636B36"/>
    <w:rsid w:val="2A64465C"/>
    <w:rsid w:val="2A6449A7"/>
    <w:rsid w:val="2A6603D4"/>
    <w:rsid w:val="2A68414C"/>
    <w:rsid w:val="2A684D25"/>
    <w:rsid w:val="2A687324"/>
    <w:rsid w:val="2A697EC4"/>
    <w:rsid w:val="2A6B1546"/>
    <w:rsid w:val="2A6B59EA"/>
    <w:rsid w:val="2A6B7798"/>
    <w:rsid w:val="2A6C52BE"/>
    <w:rsid w:val="2A6D1762"/>
    <w:rsid w:val="2A6F47D0"/>
    <w:rsid w:val="2A7009E8"/>
    <w:rsid w:val="2A704DAF"/>
    <w:rsid w:val="2A716E99"/>
    <w:rsid w:val="2A73489F"/>
    <w:rsid w:val="2A73664D"/>
    <w:rsid w:val="2A7A5C2D"/>
    <w:rsid w:val="2A7A5D12"/>
    <w:rsid w:val="2A7A79DB"/>
    <w:rsid w:val="2A7C3754"/>
    <w:rsid w:val="2A7C7BF7"/>
    <w:rsid w:val="2A7D74CC"/>
    <w:rsid w:val="2A7E571E"/>
    <w:rsid w:val="2A7F1496"/>
    <w:rsid w:val="2A7F3244"/>
    <w:rsid w:val="2A7F4FF2"/>
    <w:rsid w:val="2A830C0B"/>
    <w:rsid w:val="2A842608"/>
    <w:rsid w:val="2A856BE0"/>
    <w:rsid w:val="2A8B3997"/>
    <w:rsid w:val="2A8E5901"/>
    <w:rsid w:val="2A900FAD"/>
    <w:rsid w:val="2A9036A3"/>
    <w:rsid w:val="2A9071FF"/>
    <w:rsid w:val="2A9211C9"/>
    <w:rsid w:val="2A950CB9"/>
    <w:rsid w:val="2A954815"/>
    <w:rsid w:val="2A96076A"/>
    <w:rsid w:val="2A9767DF"/>
    <w:rsid w:val="2A992557"/>
    <w:rsid w:val="2A9A5842"/>
    <w:rsid w:val="2A9C2048"/>
    <w:rsid w:val="2A9C3B72"/>
    <w:rsid w:val="2A9C3DF6"/>
    <w:rsid w:val="2AA016B4"/>
    <w:rsid w:val="2AA1140C"/>
    <w:rsid w:val="2AA17288"/>
    <w:rsid w:val="2AA42CAA"/>
    <w:rsid w:val="2AA607D0"/>
    <w:rsid w:val="2AA84549"/>
    <w:rsid w:val="2AAC13F4"/>
    <w:rsid w:val="2AAD1B5F"/>
    <w:rsid w:val="2AAD6003"/>
    <w:rsid w:val="2AAF1D7B"/>
    <w:rsid w:val="2AB078A1"/>
    <w:rsid w:val="2AB54EB7"/>
    <w:rsid w:val="2AB56C65"/>
    <w:rsid w:val="2ABA24CE"/>
    <w:rsid w:val="2ABD4763"/>
    <w:rsid w:val="2ABE3D6C"/>
    <w:rsid w:val="2AC31382"/>
    <w:rsid w:val="2AC375D4"/>
    <w:rsid w:val="2AC450FA"/>
    <w:rsid w:val="2AC47F35"/>
    <w:rsid w:val="2AC86999"/>
    <w:rsid w:val="2ACB46DB"/>
    <w:rsid w:val="2ACD2201"/>
    <w:rsid w:val="2AD0584D"/>
    <w:rsid w:val="2AD27817"/>
    <w:rsid w:val="2AD30526"/>
    <w:rsid w:val="2AD417E1"/>
    <w:rsid w:val="2AD45722"/>
    <w:rsid w:val="2AD57308"/>
    <w:rsid w:val="2AD760AB"/>
    <w:rsid w:val="2AD76BDC"/>
    <w:rsid w:val="2AD96DF8"/>
    <w:rsid w:val="2ADB00E5"/>
    <w:rsid w:val="2AE00186"/>
    <w:rsid w:val="2AE01F34"/>
    <w:rsid w:val="2AE16896"/>
    <w:rsid w:val="2AE2430F"/>
    <w:rsid w:val="2AE34015"/>
    <w:rsid w:val="2AE412F9"/>
    <w:rsid w:val="2AE5754B"/>
    <w:rsid w:val="2AE676A9"/>
    <w:rsid w:val="2AE8703B"/>
    <w:rsid w:val="2AEA2DB3"/>
    <w:rsid w:val="2AED771C"/>
    <w:rsid w:val="2AEF2177"/>
    <w:rsid w:val="2AEF3F25"/>
    <w:rsid w:val="2AEF71FD"/>
    <w:rsid w:val="2AF07C9E"/>
    <w:rsid w:val="2AF21C68"/>
    <w:rsid w:val="2AF23C78"/>
    <w:rsid w:val="2AF4778E"/>
    <w:rsid w:val="2AF61758"/>
    <w:rsid w:val="2AF7102C"/>
    <w:rsid w:val="2AF7636C"/>
    <w:rsid w:val="2AF92FF6"/>
    <w:rsid w:val="2AFC4894"/>
    <w:rsid w:val="2AFD492E"/>
    <w:rsid w:val="2AFE685E"/>
    <w:rsid w:val="2AFF3560"/>
    <w:rsid w:val="2B0032AF"/>
    <w:rsid w:val="2B033E75"/>
    <w:rsid w:val="2B05199B"/>
    <w:rsid w:val="2B053749"/>
    <w:rsid w:val="2B060B84"/>
    <w:rsid w:val="2B073965"/>
    <w:rsid w:val="2B0907D2"/>
    <w:rsid w:val="2B0A5203"/>
    <w:rsid w:val="2B0C5B64"/>
    <w:rsid w:val="2B0E0484"/>
    <w:rsid w:val="2B0F281A"/>
    <w:rsid w:val="2B0F45C8"/>
    <w:rsid w:val="2B12010E"/>
    <w:rsid w:val="2B12230A"/>
    <w:rsid w:val="2B14398C"/>
    <w:rsid w:val="2B147E30"/>
    <w:rsid w:val="2B151618"/>
    <w:rsid w:val="2B1716CE"/>
    <w:rsid w:val="2B17347C"/>
    <w:rsid w:val="2B177920"/>
    <w:rsid w:val="2B195597"/>
    <w:rsid w:val="2B1971F4"/>
    <w:rsid w:val="2B1C0A93"/>
    <w:rsid w:val="2B1D5868"/>
    <w:rsid w:val="2B1D6AE9"/>
    <w:rsid w:val="2B1D6E2F"/>
    <w:rsid w:val="2B1E2A5D"/>
    <w:rsid w:val="2B213424"/>
    <w:rsid w:val="2B2142FB"/>
    <w:rsid w:val="2B25203D"/>
    <w:rsid w:val="2B2636BF"/>
    <w:rsid w:val="2B277B63"/>
    <w:rsid w:val="2B2A651C"/>
    <w:rsid w:val="2B2D0EF2"/>
    <w:rsid w:val="2B2D7144"/>
    <w:rsid w:val="2B2F6A18"/>
    <w:rsid w:val="2B312790"/>
    <w:rsid w:val="2B391645"/>
    <w:rsid w:val="2B395AE8"/>
    <w:rsid w:val="2B3B716B"/>
    <w:rsid w:val="2B3D4D7E"/>
    <w:rsid w:val="2B404781"/>
    <w:rsid w:val="2B413339"/>
    <w:rsid w:val="2B414821"/>
    <w:rsid w:val="2B42499D"/>
    <w:rsid w:val="2B427374"/>
    <w:rsid w:val="2B430715"/>
    <w:rsid w:val="2B430FEA"/>
    <w:rsid w:val="2B45448D"/>
    <w:rsid w:val="2B485D2C"/>
    <w:rsid w:val="2B4A5600"/>
    <w:rsid w:val="2B4C581C"/>
    <w:rsid w:val="2B4D3342"/>
    <w:rsid w:val="2B4F2C16"/>
    <w:rsid w:val="2B502995"/>
    <w:rsid w:val="2B514BE0"/>
    <w:rsid w:val="2B5164A1"/>
    <w:rsid w:val="2B520958"/>
    <w:rsid w:val="2B5841C1"/>
    <w:rsid w:val="2B585F6F"/>
    <w:rsid w:val="2B591CE7"/>
    <w:rsid w:val="2B5A30BA"/>
    <w:rsid w:val="2B5B5A5F"/>
    <w:rsid w:val="2B5E540C"/>
    <w:rsid w:val="2B5E5CEF"/>
    <w:rsid w:val="2B5E72FD"/>
    <w:rsid w:val="2B603075"/>
    <w:rsid w:val="2B621401"/>
    <w:rsid w:val="2B631F9F"/>
    <w:rsid w:val="2B65068C"/>
    <w:rsid w:val="2B683CD8"/>
    <w:rsid w:val="2B6A7A50"/>
    <w:rsid w:val="2B6B0F88"/>
    <w:rsid w:val="2B6C1A1A"/>
    <w:rsid w:val="2B6F150A"/>
    <w:rsid w:val="2B6F32B8"/>
    <w:rsid w:val="2B710DDE"/>
    <w:rsid w:val="2B732DA8"/>
    <w:rsid w:val="2B77216D"/>
    <w:rsid w:val="2B7B1C5D"/>
    <w:rsid w:val="2B7B3A0B"/>
    <w:rsid w:val="2B7D3C27"/>
    <w:rsid w:val="2B7E174D"/>
    <w:rsid w:val="2B7F799F"/>
    <w:rsid w:val="2B822FEC"/>
    <w:rsid w:val="2B8313B8"/>
    <w:rsid w:val="2B85488A"/>
    <w:rsid w:val="2B87043E"/>
    <w:rsid w:val="2B874618"/>
    <w:rsid w:val="2B874C0D"/>
    <w:rsid w:val="2B876854"/>
    <w:rsid w:val="2B893597"/>
    <w:rsid w:val="2B8A00F2"/>
    <w:rsid w:val="2B8D373E"/>
    <w:rsid w:val="2B8E7BE2"/>
    <w:rsid w:val="2B911481"/>
    <w:rsid w:val="2B91322F"/>
    <w:rsid w:val="2B920D55"/>
    <w:rsid w:val="2B936FA7"/>
    <w:rsid w:val="2B944ACD"/>
    <w:rsid w:val="2B95696A"/>
    <w:rsid w:val="2B960845"/>
    <w:rsid w:val="2B960A8A"/>
    <w:rsid w:val="2B966A97"/>
    <w:rsid w:val="2B97384F"/>
    <w:rsid w:val="2B9766A3"/>
    <w:rsid w:val="2B9845BD"/>
    <w:rsid w:val="2B9920E3"/>
    <w:rsid w:val="2B992635"/>
    <w:rsid w:val="2B995AE1"/>
    <w:rsid w:val="2B9E594C"/>
    <w:rsid w:val="2BA07916"/>
    <w:rsid w:val="2BA1664E"/>
    <w:rsid w:val="2BA678EF"/>
    <w:rsid w:val="2BA70CA4"/>
    <w:rsid w:val="2BA86521"/>
    <w:rsid w:val="2BA94A1C"/>
    <w:rsid w:val="2BAC1E16"/>
    <w:rsid w:val="2BAD59E4"/>
    <w:rsid w:val="2BAD5B8F"/>
    <w:rsid w:val="2BAE2033"/>
    <w:rsid w:val="2BB138D1"/>
    <w:rsid w:val="2BB4516F"/>
    <w:rsid w:val="2BB60EE7"/>
    <w:rsid w:val="2BB86A0D"/>
    <w:rsid w:val="2BB92149"/>
    <w:rsid w:val="2BBA3532"/>
    <w:rsid w:val="2BBB02AC"/>
    <w:rsid w:val="2BBB474F"/>
    <w:rsid w:val="2BBE65D0"/>
    <w:rsid w:val="2BBE7D9C"/>
    <w:rsid w:val="2BBF5FEE"/>
    <w:rsid w:val="2BC37160"/>
    <w:rsid w:val="2BC43604"/>
    <w:rsid w:val="2BC453B2"/>
    <w:rsid w:val="2BC730F4"/>
    <w:rsid w:val="2BC76C50"/>
    <w:rsid w:val="2BCA04EF"/>
    <w:rsid w:val="2BCB017A"/>
    <w:rsid w:val="2BCB1D93"/>
    <w:rsid w:val="2BCC070B"/>
    <w:rsid w:val="2BCC24B9"/>
    <w:rsid w:val="2BCC5B11"/>
    <w:rsid w:val="2BCD020C"/>
    <w:rsid w:val="2BCE6231"/>
    <w:rsid w:val="2BCF0790"/>
    <w:rsid w:val="2BD02B5C"/>
    <w:rsid w:val="2BD355F5"/>
    <w:rsid w:val="2BD650E5"/>
    <w:rsid w:val="2BD77ACC"/>
    <w:rsid w:val="2BD80E5D"/>
    <w:rsid w:val="2BDA2E28"/>
    <w:rsid w:val="2BDA4BD6"/>
    <w:rsid w:val="2BDD0222"/>
    <w:rsid w:val="2BDD46C6"/>
    <w:rsid w:val="2BDD6474"/>
    <w:rsid w:val="2BDE550C"/>
    <w:rsid w:val="2BE315B0"/>
    <w:rsid w:val="2BE5357A"/>
    <w:rsid w:val="2BE710A1"/>
    <w:rsid w:val="2BE75544"/>
    <w:rsid w:val="2BE9306B"/>
    <w:rsid w:val="2BE94E19"/>
    <w:rsid w:val="2BEA3703"/>
    <w:rsid w:val="2BEC2335"/>
    <w:rsid w:val="2BEC4909"/>
    <w:rsid w:val="2BEE242F"/>
    <w:rsid w:val="2BEE3514"/>
    <w:rsid w:val="2BEF4EFD"/>
    <w:rsid w:val="2BEF50B2"/>
    <w:rsid w:val="2BEF61A7"/>
    <w:rsid w:val="2BF15C13"/>
    <w:rsid w:val="2BF33EE9"/>
    <w:rsid w:val="2BF67536"/>
    <w:rsid w:val="2BF77448"/>
    <w:rsid w:val="2BF929E2"/>
    <w:rsid w:val="2C016606"/>
    <w:rsid w:val="2C041A4C"/>
    <w:rsid w:val="2C071743"/>
    <w:rsid w:val="2C0717BF"/>
    <w:rsid w:val="2C0757FC"/>
    <w:rsid w:val="2C077995"/>
    <w:rsid w:val="2C09468E"/>
    <w:rsid w:val="2C0C373D"/>
    <w:rsid w:val="2C0C6063"/>
    <w:rsid w:val="2C0F23A5"/>
    <w:rsid w:val="2C1005F7"/>
    <w:rsid w:val="2C131E96"/>
    <w:rsid w:val="2C1520B2"/>
    <w:rsid w:val="2C157D1E"/>
    <w:rsid w:val="2C163734"/>
    <w:rsid w:val="2C167BD8"/>
    <w:rsid w:val="2C1950D5"/>
    <w:rsid w:val="2C1E2EF5"/>
    <w:rsid w:val="2C2045B2"/>
    <w:rsid w:val="2C2220D9"/>
    <w:rsid w:val="2C22657D"/>
    <w:rsid w:val="2C231B78"/>
    <w:rsid w:val="2C251BC9"/>
    <w:rsid w:val="2C267E1B"/>
    <w:rsid w:val="2C29642F"/>
    <w:rsid w:val="2C29790B"/>
    <w:rsid w:val="2C2A4C66"/>
    <w:rsid w:val="2C2A71DF"/>
    <w:rsid w:val="2C2C73FB"/>
    <w:rsid w:val="2C3047F6"/>
    <w:rsid w:val="2C31056E"/>
    <w:rsid w:val="2C3167C0"/>
    <w:rsid w:val="2C324A12"/>
    <w:rsid w:val="2C33078A"/>
    <w:rsid w:val="2C3D46EC"/>
    <w:rsid w:val="2C41055E"/>
    <w:rsid w:val="2C416E1D"/>
    <w:rsid w:val="2C46226B"/>
    <w:rsid w:val="2C477D91"/>
    <w:rsid w:val="2C4A438D"/>
    <w:rsid w:val="2C4D406C"/>
    <w:rsid w:val="2C4E6D35"/>
    <w:rsid w:val="2C5030EA"/>
    <w:rsid w:val="2C504E98"/>
    <w:rsid w:val="2C526E62"/>
    <w:rsid w:val="2C532BDA"/>
    <w:rsid w:val="2C534988"/>
    <w:rsid w:val="2C55425C"/>
    <w:rsid w:val="2C570D4D"/>
    <w:rsid w:val="2C574478"/>
    <w:rsid w:val="2C5A5D16"/>
    <w:rsid w:val="2C5C383D"/>
    <w:rsid w:val="2C5D59A6"/>
    <w:rsid w:val="2C5D75B5"/>
    <w:rsid w:val="2C5F157F"/>
    <w:rsid w:val="2C602C01"/>
    <w:rsid w:val="2C6170A5"/>
    <w:rsid w:val="2C666469"/>
    <w:rsid w:val="2C6721E1"/>
    <w:rsid w:val="2C673F8F"/>
    <w:rsid w:val="2C695F59"/>
    <w:rsid w:val="2C6B1CD2"/>
    <w:rsid w:val="2C6E17C2"/>
    <w:rsid w:val="2C6E3570"/>
    <w:rsid w:val="2C6E757B"/>
    <w:rsid w:val="2C710A1F"/>
    <w:rsid w:val="2C7147BB"/>
    <w:rsid w:val="2C732934"/>
    <w:rsid w:val="2C772424"/>
    <w:rsid w:val="2C7768C8"/>
    <w:rsid w:val="2C78619D"/>
    <w:rsid w:val="2C7A0167"/>
    <w:rsid w:val="2C7C3EDF"/>
    <w:rsid w:val="2C7D1A05"/>
    <w:rsid w:val="2C7F4C87"/>
    <w:rsid w:val="2C8130AA"/>
    <w:rsid w:val="2C8142B0"/>
    <w:rsid w:val="2C820DC9"/>
    <w:rsid w:val="2C82701B"/>
    <w:rsid w:val="2C83526D"/>
    <w:rsid w:val="2C840FE5"/>
    <w:rsid w:val="2C844B41"/>
    <w:rsid w:val="2C8601BB"/>
    <w:rsid w:val="2C8608B9"/>
    <w:rsid w:val="2C864D5D"/>
    <w:rsid w:val="2C8815B2"/>
    <w:rsid w:val="2C8903AA"/>
    <w:rsid w:val="2C89251E"/>
    <w:rsid w:val="2C8B5ED0"/>
    <w:rsid w:val="2C8C13C3"/>
    <w:rsid w:val="2C8C39F6"/>
    <w:rsid w:val="2C8D7E9A"/>
    <w:rsid w:val="2C8E3C12"/>
    <w:rsid w:val="2C931228"/>
    <w:rsid w:val="2C932FD6"/>
    <w:rsid w:val="2C934D84"/>
    <w:rsid w:val="2C9366C5"/>
    <w:rsid w:val="2C947B55"/>
    <w:rsid w:val="2C950AFD"/>
    <w:rsid w:val="2C9764D6"/>
    <w:rsid w:val="2C9A4365"/>
    <w:rsid w:val="2C9A6113"/>
    <w:rsid w:val="2C9C1E8B"/>
    <w:rsid w:val="2C9C632F"/>
    <w:rsid w:val="2C9C63F3"/>
    <w:rsid w:val="2C9E20A7"/>
    <w:rsid w:val="2C9F7BCD"/>
    <w:rsid w:val="2CA13945"/>
    <w:rsid w:val="2CA23219"/>
    <w:rsid w:val="2CA46F92"/>
    <w:rsid w:val="2CA70830"/>
    <w:rsid w:val="2CA86A82"/>
    <w:rsid w:val="2CA945A8"/>
    <w:rsid w:val="2CAB47C4"/>
    <w:rsid w:val="2CAB6572"/>
    <w:rsid w:val="2CAE2083"/>
    <w:rsid w:val="2CAE4A0E"/>
    <w:rsid w:val="2CAF439D"/>
    <w:rsid w:val="2CB17017"/>
    <w:rsid w:val="2CB371D5"/>
    <w:rsid w:val="2CB468A6"/>
    <w:rsid w:val="2CB5119F"/>
    <w:rsid w:val="2CB573F1"/>
    <w:rsid w:val="2CB90C8F"/>
    <w:rsid w:val="2CBA4A07"/>
    <w:rsid w:val="2CBA67B5"/>
    <w:rsid w:val="2CBD2EB2"/>
    <w:rsid w:val="2CBF3DCB"/>
    <w:rsid w:val="2CC94C4A"/>
    <w:rsid w:val="2CCB2770"/>
    <w:rsid w:val="2CCB451E"/>
    <w:rsid w:val="2CCD0296"/>
    <w:rsid w:val="2CCD64E8"/>
    <w:rsid w:val="2CCE4AFC"/>
    <w:rsid w:val="2CCF04B2"/>
    <w:rsid w:val="2CD21D51"/>
    <w:rsid w:val="2CD47877"/>
    <w:rsid w:val="2CD71115"/>
    <w:rsid w:val="2CD94E8D"/>
    <w:rsid w:val="2CDA0C05"/>
    <w:rsid w:val="2CDA29B3"/>
    <w:rsid w:val="2CDC2BCF"/>
    <w:rsid w:val="2CDC497D"/>
    <w:rsid w:val="2CDE06F5"/>
    <w:rsid w:val="2CDE23AC"/>
    <w:rsid w:val="2CDF621C"/>
    <w:rsid w:val="2CE11F94"/>
    <w:rsid w:val="2CE455E0"/>
    <w:rsid w:val="2CE848EE"/>
    <w:rsid w:val="2CE90E48"/>
    <w:rsid w:val="2CEB2E12"/>
    <w:rsid w:val="2CEB4BC0"/>
    <w:rsid w:val="2CEB696E"/>
    <w:rsid w:val="2CEE645F"/>
    <w:rsid w:val="2CF021D7"/>
    <w:rsid w:val="2CF1492A"/>
    <w:rsid w:val="2CF6225B"/>
    <w:rsid w:val="2CF73565"/>
    <w:rsid w:val="2CF9108B"/>
    <w:rsid w:val="2CF9552F"/>
    <w:rsid w:val="2CFB18D4"/>
    <w:rsid w:val="2CFC41F4"/>
    <w:rsid w:val="2D016192"/>
    <w:rsid w:val="2D0217A7"/>
    <w:rsid w:val="2D0772C2"/>
    <w:rsid w:val="2D085772"/>
    <w:rsid w:val="2D095047"/>
    <w:rsid w:val="2D0A3299"/>
    <w:rsid w:val="2D0B0DBF"/>
    <w:rsid w:val="2D0B1B07"/>
    <w:rsid w:val="2D0B7011"/>
    <w:rsid w:val="2D0D2D89"/>
    <w:rsid w:val="2D0E057D"/>
    <w:rsid w:val="2D0E6608"/>
    <w:rsid w:val="2D0F08AF"/>
    <w:rsid w:val="2D102879"/>
    <w:rsid w:val="2D104627"/>
    <w:rsid w:val="2D1063D5"/>
    <w:rsid w:val="2D1265F1"/>
    <w:rsid w:val="2D151C3D"/>
    <w:rsid w:val="2D157E8F"/>
    <w:rsid w:val="2D1660E1"/>
    <w:rsid w:val="2D173C07"/>
    <w:rsid w:val="2D19172E"/>
    <w:rsid w:val="2D1A7254"/>
    <w:rsid w:val="2D1B54A6"/>
    <w:rsid w:val="2D1C2FCC"/>
    <w:rsid w:val="2D1E0AF2"/>
    <w:rsid w:val="2D1F2DE3"/>
    <w:rsid w:val="2D200D0E"/>
    <w:rsid w:val="2D2105E2"/>
    <w:rsid w:val="2D214A86"/>
    <w:rsid w:val="2D23435A"/>
    <w:rsid w:val="2D2500D2"/>
    <w:rsid w:val="2D281971"/>
    <w:rsid w:val="2D297497"/>
    <w:rsid w:val="2D2B2033"/>
    <w:rsid w:val="2D2D342B"/>
    <w:rsid w:val="2D2D6F87"/>
    <w:rsid w:val="2D300825"/>
    <w:rsid w:val="2D3070C6"/>
    <w:rsid w:val="2D3130E3"/>
    <w:rsid w:val="2D3305D4"/>
    <w:rsid w:val="2D3622E0"/>
    <w:rsid w:val="2D366F55"/>
    <w:rsid w:val="2D371BB4"/>
    <w:rsid w:val="2D3B5B48"/>
    <w:rsid w:val="2D3B78F6"/>
    <w:rsid w:val="2D3C366E"/>
    <w:rsid w:val="2D3C541C"/>
    <w:rsid w:val="2D3E1194"/>
    <w:rsid w:val="2D3E2F42"/>
    <w:rsid w:val="2D3E73E6"/>
    <w:rsid w:val="2D404F0C"/>
    <w:rsid w:val="2D410C84"/>
    <w:rsid w:val="2D4349FC"/>
    <w:rsid w:val="2D4542D1"/>
    <w:rsid w:val="2D46629B"/>
    <w:rsid w:val="2D4744ED"/>
    <w:rsid w:val="2D48136A"/>
    <w:rsid w:val="2D483DC1"/>
    <w:rsid w:val="2D485B6F"/>
    <w:rsid w:val="2D4973F6"/>
    <w:rsid w:val="2D4A53CB"/>
    <w:rsid w:val="2D4B28DF"/>
    <w:rsid w:val="2D4B565F"/>
    <w:rsid w:val="2D4C1B03"/>
    <w:rsid w:val="2D4D0A9B"/>
    <w:rsid w:val="2D4D13D7"/>
    <w:rsid w:val="2D4F15F3"/>
    <w:rsid w:val="2D4F6EFD"/>
    <w:rsid w:val="2D502C75"/>
    <w:rsid w:val="2D507AFC"/>
    <w:rsid w:val="2D520602"/>
    <w:rsid w:val="2D564730"/>
    <w:rsid w:val="2D5664DE"/>
    <w:rsid w:val="2D5704A8"/>
    <w:rsid w:val="2D5B1D46"/>
    <w:rsid w:val="2D5C161A"/>
    <w:rsid w:val="2D621327"/>
    <w:rsid w:val="2D656721"/>
    <w:rsid w:val="2D6F075A"/>
    <w:rsid w:val="2D6F57F1"/>
    <w:rsid w:val="2D6F75A0"/>
    <w:rsid w:val="2D71156A"/>
    <w:rsid w:val="2D7352E2"/>
    <w:rsid w:val="2D746964"/>
    <w:rsid w:val="2D7626DC"/>
    <w:rsid w:val="2D7921CC"/>
    <w:rsid w:val="2D7B7CF2"/>
    <w:rsid w:val="2D7D63DD"/>
    <w:rsid w:val="2D7E3C87"/>
    <w:rsid w:val="2D80355B"/>
    <w:rsid w:val="2D811081"/>
    <w:rsid w:val="2D850759"/>
    <w:rsid w:val="2D850B71"/>
    <w:rsid w:val="2D855015"/>
    <w:rsid w:val="2D8748E9"/>
    <w:rsid w:val="2D875411"/>
    <w:rsid w:val="2D8774C4"/>
    <w:rsid w:val="2D8A262B"/>
    <w:rsid w:val="2D8D3ECA"/>
    <w:rsid w:val="2D8E0F2E"/>
    <w:rsid w:val="2D8F19F0"/>
    <w:rsid w:val="2D8F2515"/>
    <w:rsid w:val="2D917516"/>
    <w:rsid w:val="2D925870"/>
    <w:rsid w:val="2D937732"/>
    <w:rsid w:val="2D957971"/>
    <w:rsid w:val="2D960FD0"/>
    <w:rsid w:val="2D966117"/>
    <w:rsid w:val="2D99461C"/>
    <w:rsid w:val="2D9B2143"/>
    <w:rsid w:val="2D9C4F6B"/>
    <w:rsid w:val="2D9C5EBB"/>
    <w:rsid w:val="2D9D235F"/>
    <w:rsid w:val="2D9D410D"/>
    <w:rsid w:val="2D9E7E85"/>
    <w:rsid w:val="2DA07759"/>
    <w:rsid w:val="2DA336ED"/>
    <w:rsid w:val="2DA3549B"/>
    <w:rsid w:val="2DA4664B"/>
    <w:rsid w:val="2DA51213"/>
    <w:rsid w:val="2DA57465"/>
    <w:rsid w:val="2DA90D03"/>
    <w:rsid w:val="2DAA682A"/>
    <w:rsid w:val="2DAC07F4"/>
    <w:rsid w:val="2DAD2CC4"/>
    <w:rsid w:val="2DAE631A"/>
    <w:rsid w:val="2DAF5BEE"/>
    <w:rsid w:val="2DB2482A"/>
    <w:rsid w:val="2DB317B9"/>
    <w:rsid w:val="2DB31B82"/>
    <w:rsid w:val="2DB72CF5"/>
    <w:rsid w:val="2DB80F46"/>
    <w:rsid w:val="2DBA2FCF"/>
    <w:rsid w:val="2DBC5F4F"/>
    <w:rsid w:val="2DBD50E7"/>
    <w:rsid w:val="2DBF149D"/>
    <w:rsid w:val="2DC01BA9"/>
    <w:rsid w:val="2DC518B5"/>
    <w:rsid w:val="2DC53663"/>
    <w:rsid w:val="2DC72F38"/>
    <w:rsid w:val="2DC773DC"/>
    <w:rsid w:val="2DCA2A28"/>
    <w:rsid w:val="2DCD42C6"/>
    <w:rsid w:val="2DCE1D05"/>
    <w:rsid w:val="2DCE2518"/>
    <w:rsid w:val="2DCF44E2"/>
    <w:rsid w:val="2DD13DB6"/>
    <w:rsid w:val="2DD218DC"/>
    <w:rsid w:val="2DD30DA3"/>
    <w:rsid w:val="2DD37B2E"/>
    <w:rsid w:val="2DD65871"/>
    <w:rsid w:val="2DD815E9"/>
    <w:rsid w:val="2DDB4C35"/>
    <w:rsid w:val="2DDD484D"/>
    <w:rsid w:val="2DDE5EB6"/>
    <w:rsid w:val="2DDF5A78"/>
    <w:rsid w:val="2DE0224B"/>
    <w:rsid w:val="2DE16FF1"/>
    <w:rsid w:val="2DE25FC3"/>
    <w:rsid w:val="2DE27D71"/>
    <w:rsid w:val="2DE41D3C"/>
    <w:rsid w:val="2DE47F8D"/>
    <w:rsid w:val="2DE735DA"/>
    <w:rsid w:val="2DE74756"/>
    <w:rsid w:val="2DE955A4"/>
    <w:rsid w:val="2DEA30CA"/>
    <w:rsid w:val="2DEC0BF0"/>
    <w:rsid w:val="2DF126AA"/>
    <w:rsid w:val="2DF16206"/>
    <w:rsid w:val="2DF301D1"/>
    <w:rsid w:val="2DF755CD"/>
    <w:rsid w:val="2DF83A39"/>
    <w:rsid w:val="2DF91B72"/>
    <w:rsid w:val="2DFB52D7"/>
    <w:rsid w:val="2DFB71AB"/>
    <w:rsid w:val="2DFC2F3E"/>
    <w:rsid w:val="2DFE521A"/>
    <w:rsid w:val="2E0028ED"/>
    <w:rsid w:val="2E0423DE"/>
    <w:rsid w:val="2E0777D8"/>
    <w:rsid w:val="2E0C4DEE"/>
    <w:rsid w:val="2E0E0B66"/>
    <w:rsid w:val="2E0E500A"/>
    <w:rsid w:val="2E0E6DB8"/>
    <w:rsid w:val="2E1168A9"/>
    <w:rsid w:val="2E1224E4"/>
    <w:rsid w:val="2E132621"/>
    <w:rsid w:val="2E13617D"/>
    <w:rsid w:val="2E165C6D"/>
    <w:rsid w:val="2E166B2C"/>
    <w:rsid w:val="2E184591"/>
    <w:rsid w:val="2E194231"/>
    <w:rsid w:val="2E1A575D"/>
    <w:rsid w:val="2E1F0FC6"/>
    <w:rsid w:val="2E220AB6"/>
    <w:rsid w:val="2E222864"/>
    <w:rsid w:val="2E25123C"/>
    <w:rsid w:val="2E2A1718"/>
    <w:rsid w:val="2E2C5491"/>
    <w:rsid w:val="2E2D6DDD"/>
    <w:rsid w:val="2E2D764F"/>
    <w:rsid w:val="2E2E1209"/>
    <w:rsid w:val="2E344345"/>
    <w:rsid w:val="2E350140"/>
    <w:rsid w:val="2E3558C9"/>
    <w:rsid w:val="2E36630F"/>
    <w:rsid w:val="2E383AEE"/>
    <w:rsid w:val="2E3A7BAD"/>
    <w:rsid w:val="2E3B1934"/>
    <w:rsid w:val="2E3B3926"/>
    <w:rsid w:val="2E3D3BC8"/>
    <w:rsid w:val="2E3D769E"/>
    <w:rsid w:val="2E3F3416"/>
    <w:rsid w:val="2E402CEA"/>
    <w:rsid w:val="2E456552"/>
    <w:rsid w:val="2E47051C"/>
    <w:rsid w:val="2E494294"/>
    <w:rsid w:val="2E500904"/>
    <w:rsid w:val="2E50117F"/>
    <w:rsid w:val="2E530AF8"/>
    <w:rsid w:val="2E532A1D"/>
    <w:rsid w:val="2E56250D"/>
    <w:rsid w:val="2E580034"/>
    <w:rsid w:val="2E586DFA"/>
    <w:rsid w:val="2E5A0250"/>
    <w:rsid w:val="2E5B7B24"/>
    <w:rsid w:val="2E5C5D76"/>
    <w:rsid w:val="2E5D1AEE"/>
    <w:rsid w:val="2E5D389C"/>
    <w:rsid w:val="2E5D564A"/>
    <w:rsid w:val="2E5F4906"/>
    <w:rsid w:val="2E625356"/>
    <w:rsid w:val="2E627104"/>
    <w:rsid w:val="2E6305ED"/>
    <w:rsid w:val="2E6609A2"/>
    <w:rsid w:val="2E67471B"/>
    <w:rsid w:val="2E692241"/>
    <w:rsid w:val="2E693FEF"/>
    <w:rsid w:val="2E6958EF"/>
    <w:rsid w:val="2E6A7D67"/>
    <w:rsid w:val="2E6D45D8"/>
    <w:rsid w:val="2E6E3CFB"/>
    <w:rsid w:val="2E6E5AA9"/>
    <w:rsid w:val="2E6E74F1"/>
    <w:rsid w:val="2E7035CF"/>
    <w:rsid w:val="2E70773E"/>
    <w:rsid w:val="2E712F35"/>
    <w:rsid w:val="2E725599"/>
    <w:rsid w:val="2E731311"/>
    <w:rsid w:val="2E734E6D"/>
    <w:rsid w:val="2E753A5E"/>
    <w:rsid w:val="2E756E38"/>
    <w:rsid w:val="2E7763D7"/>
    <w:rsid w:val="2E7806D6"/>
    <w:rsid w:val="2E786928"/>
    <w:rsid w:val="2E7A444E"/>
    <w:rsid w:val="2E840E29"/>
    <w:rsid w:val="2E894691"/>
    <w:rsid w:val="2E8D2118"/>
    <w:rsid w:val="2E8D23D3"/>
    <w:rsid w:val="2E8E1CA7"/>
    <w:rsid w:val="2E903C71"/>
    <w:rsid w:val="2E91366A"/>
    <w:rsid w:val="2E9276CB"/>
    <w:rsid w:val="2E930B5B"/>
    <w:rsid w:val="2E951288"/>
    <w:rsid w:val="2E953036"/>
    <w:rsid w:val="2E982B26"/>
    <w:rsid w:val="2E9848D4"/>
    <w:rsid w:val="2E9A064C"/>
    <w:rsid w:val="2E9A1EAA"/>
    <w:rsid w:val="2E9C2616"/>
    <w:rsid w:val="2E9D638E"/>
    <w:rsid w:val="2E9F5C62"/>
    <w:rsid w:val="2EA17C2D"/>
    <w:rsid w:val="2EA66FF1"/>
    <w:rsid w:val="2EA901B0"/>
    <w:rsid w:val="2EAA3A90"/>
    <w:rsid w:val="2EAC6B31"/>
    <w:rsid w:val="2EB01C1E"/>
    <w:rsid w:val="2EB060C2"/>
    <w:rsid w:val="2EB07E70"/>
    <w:rsid w:val="2EB3170E"/>
    <w:rsid w:val="2EB3795E"/>
    <w:rsid w:val="2EB51324"/>
    <w:rsid w:val="2EB536D8"/>
    <w:rsid w:val="2EB711FE"/>
    <w:rsid w:val="2EB72FAC"/>
    <w:rsid w:val="2EB82856"/>
    <w:rsid w:val="2EB84F76"/>
    <w:rsid w:val="2EBA2A9C"/>
    <w:rsid w:val="2EBA6F40"/>
    <w:rsid w:val="2EBC05C2"/>
    <w:rsid w:val="2EBC4A66"/>
    <w:rsid w:val="2EBD258D"/>
    <w:rsid w:val="2EBF0A2B"/>
    <w:rsid w:val="2EBF4557"/>
    <w:rsid w:val="2EBF6305"/>
    <w:rsid w:val="2EC21951"/>
    <w:rsid w:val="2EC333C5"/>
    <w:rsid w:val="2EC41B6D"/>
    <w:rsid w:val="2EC60DB5"/>
    <w:rsid w:val="2EC76F67"/>
    <w:rsid w:val="2EC851B9"/>
    <w:rsid w:val="2ECD0A22"/>
    <w:rsid w:val="2ECE479A"/>
    <w:rsid w:val="2ECE6548"/>
    <w:rsid w:val="2ECF6A3D"/>
    <w:rsid w:val="2ED00512"/>
    <w:rsid w:val="2ED2428A"/>
    <w:rsid w:val="2ED31DB0"/>
    <w:rsid w:val="2ED33B5E"/>
    <w:rsid w:val="2ED40002"/>
    <w:rsid w:val="2ED51684"/>
    <w:rsid w:val="2ED718A0"/>
    <w:rsid w:val="2ED85923"/>
    <w:rsid w:val="2ED85DFF"/>
    <w:rsid w:val="2EDB6C8A"/>
    <w:rsid w:val="2EDF2503"/>
    <w:rsid w:val="2EE10029"/>
    <w:rsid w:val="2EE23DA1"/>
    <w:rsid w:val="2EE30245"/>
    <w:rsid w:val="2EE3584F"/>
    <w:rsid w:val="2EE45D6B"/>
    <w:rsid w:val="2EE87609"/>
    <w:rsid w:val="2EE93382"/>
    <w:rsid w:val="2EEA43D0"/>
    <w:rsid w:val="2EEB2B34"/>
    <w:rsid w:val="2EF173B1"/>
    <w:rsid w:val="2EF20488"/>
    <w:rsid w:val="2EF27E36"/>
    <w:rsid w:val="2EF35FAE"/>
    <w:rsid w:val="2EF73CF0"/>
    <w:rsid w:val="2EF835C5"/>
    <w:rsid w:val="2EF93C76"/>
    <w:rsid w:val="2EF97A69"/>
    <w:rsid w:val="2EFE0BDB"/>
    <w:rsid w:val="2EFF0FAA"/>
    <w:rsid w:val="2EFF3B7B"/>
    <w:rsid w:val="2F000DF7"/>
    <w:rsid w:val="2F0106CB"/>
    <w:rsid w:val="2F012479"/>
    <w:rsid w:val="2F034443"/>
    <w:rsid w:val="2F063F34"/>
    <w:rsid w:val="2F065CE2"/>
    <w:rsid w:val="2F083808"/>
    <w:rsid w:val="2F087CAC"/>
    <w:rsid w:val="2F0B154A"/>
    <w:rsid w:val="2F0C6B65"/>
    <w:rsid w:val="2F0D0E1E"/>
    <w:rsid w:val="2F0D7070"/>
    <w:rsid w:val="2F0E36ED"/>
    <w:rsid w:val="2F0E519C"/>
    <w:rsid w:val="2F10090E"/>
    <w:rsid w:val="2F10493D"/>
    <w:rsid w:val="2F121581"/>
    <w:rsid w:val="2F171C9D"/>
    <w:rsid w:val="2F176141"/>
    <w:rsid w:val="2F191EB9"/>
    <w:rsid w:val="2F1A79DF"/>
    <w:rsid w:val="2F1E74CF"/>
    <w:rsid w:val="2F204FF5"/>
    <w:rsid w:val="2F210D6D"/>
    <w:rsid w:val="2F266384"/>
    <w:rsid w:val="2F2820FC"/>
    <w:rsid w:val="2F2A7C22"/>
    <w:rsid w:val="2F2B5748"/>
    <w:rsid w:val="2F2D14C0"/>
    <w:rsid w:val="2F300FB0"/>
    <w:rsid w:val="2F313E39"/>
    <w:rsid w:val="2F320885"/>
    <w:rsid w:val="2F340AA1"/>
    <w:rsid w:val="2F34132A"/>
    <w:rsid w:val="2F3445FD"/>
    <w:rsid w:val="2F3B2A6E"/>
    <w:rsid w:val="2F3C1703"/>
    <w:rsid w:val="2F3F11F4"/>
    <w:rsid w:val="2F3F2FA2"/>
    <w:rsid w:val="2F407445"/>
    <w:rsid w:val="2F4131BE"/>
    <w:rsid w:val="2F414F6C"/>
    <w:rsid w:val="2F4228CB"/>
    <w:rsid w:val="2F436F36"/>
    <w:rsid w:val="2F4405B8"/>
    <w:rsid w:val="2F45680A"/>
    <w:rsid w:val="2F4862FA"/>
    <w:rsid w:val="2F4A2072"/>
    <w:rsid w:val="2F4A3E20"/>
    <w:rsid w:val="2F4B1946"/>
    <w:rsid w:val="2F4D3910"/>
    <w:rsid w:val="2F4F1437"/>
    <w:rsid w:val="2F5051AF"/>
    <w:rsid w:val="2F510852"/>
    <w:rsid w:val="2F511653"/>
    <w:rsid w:val="2F515F41"/>
    <w:rsid w:val="2F522CD5"/>
    <w:rsid w:val="2F5702EB"/>
    <w:rsid w:val="2F5922B5"/>
    <w:rsid w:val="2F5B602D"/>
    <w:rsid w:val="2F5C1DA5"/>
    <w:rsid w:val="2F5C3B54"/>
    <w:rsid w:val="2F601896"/>
    <w:rsid w:val="2F640B79"/>
    <w:rsid w:val="2F662C24"/>
    <w:rsid w:val="2F6649D2"/>
    <w:rsid w:val="2F686C4D"/>
    <w:rsid w:val="2F6A001E"/>
    <w:rsid w:val="2F6A6270"/>
    <w:rsid w:val="2F6B1FE9"/>
    <w:rsid w:val="2F6D7B0F"/>
    <w:rsid w:val="2F6F7D2B"/>
    <w:rsid w:val="2F700E41"/>
    <w:rsid w:val="2F7017FF"/>
    <w:rsid w:val="2F7215C9"/>
    <w:rsid w:val="2F725125"/>
    <w:rsid w:val="2F740E9D"/>
    <w:rsid w:val="2F754C15"/>
    <w:rsid w:val="2F76241E"/>
    <w:rsid w:val="2F762E67"/>
    <w:rsid w:val="2F776BDF"/>
    <w:rsid w:val="2F7B222C"/>
    <w:rsid w:val="2F7E3ACA"/>
    <w:rsid w:val="2F7E7F6E"/>
    <w:rsid w:val="2F81180C"/>
    <w:rsid w:val="2F8310E0"/>
    <w:rsid w:val="2F8337D6"/>
    <w:rsid w:val="2F837375"/>
    <w:rsid w:val="2F843990"/>
    <w:rsid w:val="2F854E58"/>
    <w:rsid w:val="2F875DDB"/>
    <w:rsid w:val="2F884949"/>
    <w:rsid w:val="2F8A246F"/>
    <w:rsid w:val="2F8D421B"/>
    <w:rsid w:val="2F8D6403"/>
    <w:rsid w:val="2F8E07F4"/>
    <w:rsid w:val="2F911EBE"/>
    <w:rsid w:val="2F917CA1"/>
    <w:rsid w:val="2F9432ED"/>
    <w:rsid w:val="2F947791"/>
    <w:rsid w:val="2F9652B7"/>
    <w:rsid w:val="2F971030"/>
    <w:rsid w:val="2F974B8C"/>
    <w:rsid w:val="2F994DA8"/>
    <w:rsid w:val="2F9A414A"/>
    <w:rsid w:val="2F9B467C"/>
    <w:rsid w:val="2F9C03F4"/>
    <w:rsid w:val="2F9C2DF8"/>
    <w:rsid w:val="2F9D669B"/>
    <w:rsid w:val="2F9E23BE"/>
    <w:rsid w:val="2FA03C59"/>
    <w:rsid w:val="2FA12DB4"/>
    <w:rsid w:val="2FA23C5C"/>
    <w:rsid w:val="2FA31782"/>
    <w:rsid w:val="2FA554FB"/>
    <w:rsid w:val="2FA572A9"/>
    <w:rsid w:val="2FA71273"/>
    <w:rsid w:val="2FA84FEB"/>
    <w:rsid w:val="2FAA48BF"/>
    <w:rsid w:val="2FAC4ADB"/>
    <w:rsid w:val="2FAD0853"/>
    <w:rsid w:val="2FAD2601"/>
    <w:rsid w:val="2FAD694E"/>
    <w:rsid w:val="2FAF0127"/>
    <w:rsid w:val="2FAF6379"/>
    <w:rsid w:val="2FB12670"/>
    <w:rsid w:val="2FB13E9F"/>
    <w:rsid w:val="2FB43990"/>
    <w:rsid w:val="2FB47769"/>
    <w:rsid w:val="2FB614B6"/>
    <w:rsid w:val="2FB67708"/>
    <w:rsid w:val="2FB725D1"/>
    <w:rsid w:val="2FB829D9"/>
    <w:rsid w:val="2FB83561"/>
    <w:rsid w:val="2FB971F8"/>
    <w:rsid w:val="2FBB2F70"/>
    <w:rsid w:val="2FBC25A1"/>
    <w:rsid w:val="2FBE480E"/>
    <w:rsid w:val="2FC02334"/>
    <w:rsid w:val="2FC040E2"/>
    <w:rsid w:val="2FC17E5A"/>
    <w:rsid w:val="2FC31E25"/>
    <w:rsid w:val="2FC32F68"/>
    <w:rsid w:val="2FC35981"/>
    <w:rsid w:val="2FC5794B"/>
    <w:rsid w:val="2FC647D1"/>
    <w:rsid w:val="2FC811E9"/>
    <w:rsid w:val="2FCA6D0F"/>
    <w:rsid w:val="2FCD67FF"/>
    <w:rsid w:val="2FCE2CA3"/>
    <w:rsid w:val="2FCF07C9"/>
    <w:rsid w:val="2FCF4325"/>
    <w:rsid w:val="2FD1527E"/>
    <w:rsid w:val="2FD162F0"/>
    <w:rsid w:val="2FD302BA"/>
    <w:rsid w:val="2FD61B58"/>
    <w:rsid w:val="2FD858D0"/>
    <w:rsid w:val="2FD8767E"/>
    <w:rsid w:val="2FD91648"/>
    <w:rsid w:val="2FD951A4"/>
    <w:rsid w:val="2FDB4E21"/>
    <w:rsid w:val="2FDC432A"/>
    <w:rsid w:val="2FDC6A42"/>
    <w:rsid w:val="2FE04785"/>
    <w:rsid w:val="2FE06533"/>
    <w:rsid w:val="2FE34275"/>
    <w:rsid w:val="2FE36023"/>
    <w:rsid w:val="2FE57FED"/>
    <w:rsid w:val="2FE9188B"/>
    <w:rsid w:val="2FEA115F"/>
    <w:rsid w:val="2FEB3580"/>
    <w:rsid w:val="2FEC3129"/>
    <w:rsid w:val="2FEC4B00"/>
    <w:rsid w:val="2FEC4ED7"/>
    <w:rsid w:val="2FEF6776"/>
    <w:rsid w:val="2FF616FD"/>
    <w:rsid w:val="2FF63FA8"/>
    <w:rsid w:val="2FF67B04"/>
    <w:rsid w:val="2FF72146"/>
    <w:rsid w:val="2FFA3A98"/>
    <w:rsid w:val="2FFD0E93"/>
    <w:rsid w:val="2FFE4C0B"/>
    <w:rsid w:val="300541EB"/>
    <w:rsid w:val="30055F99"/>
    <w:rsid w:val="30063D65"/>
    <w:rsid w:val="30093CDB"/>
    <w:rsid w:val="300D4B66"/>
    <w:rsid w:val="300E30A0"/>
    <w:rsid w:val="300F6E18"/>
    <w:rsid w:val="30105D20"/>
    <w:rsid w:val="3011493E"/>
    <w:rsid w:val="301601A6"/>
    <w:rsid w:val="301663F8"/>
    <w:rsid w:val="30183F1E"/>
    <w:rsid w:val="301C571D"/>
    <w:rsid w:val="301D1535"/>
    <w:rsid w:val="301E705B"/>
    <w:rsid w:val="30224D9D"/>
    <w:rsid w:val="30234671"/>
    <w:rsid w:val="30240B15"/>
    <w:rsid w:val="3025488D"/>
    <w:rsid w:val="3025663B"/>
    <w:rsid w:val="30265240"/>
    <w:rsid w:val="3026763A"/>
    <w:rsid w:val="302723B3"/>
    <w:rsid w:val="30282422"/>
    <w:rsid w:val="302A1EA4"/>
    <w:rsid w:val="302A3C52"/>
    <w:rsid w:val="302C5C38"/>
    <w:rsid w:val="302D729E"/>
    <w:rsid w:val="302E3742"/>
    <w:rsid w:val="302F1268"/>
    <w:rsid w:val="303348B4"/>
    <w:rsid w:val="3034687E"/>
    <w:rsid w:val="303625F7"/>
    <w:rsid w:val="303A20E7"/>
    <w:rsid w:val="303B19BB"/>
    <w:rsid w:val="303D1BD7"/>
    <w:rsid w:val="304050A9"/>
    <w:rsid w:val="30406FD1"/>
    <w:rsid w:val="3049057C"/>
    <w:rsid w:val="3049232A"/>
    <w:rsid w:val="304940D8"/>
    <w:rsid w:val="304C1E1A"/>
    <w:rsid w:val="304C3BC8"/>
    <w:rsid w:val="304E02C8"/>
    <w:rsid w:val="30515682"/>
    <w:rsid w:val="30536D05"/>
    <w:rsid w:val="30542A7D"/>
    <w:rsid w:val="305556AB"/>
    <w:rsid w:val="30556F21"/>
    <w:rsid w:val="30564A47"/>
    <w:rsid w:val="305667F5"/>
    <w:rsid w:val="30586A11"/>
    <w:rsid w:val="305877C3"/>
    <w:rsid w:val="305B3E0B"/>
    <w:rsid w:val="305D5DD5"/>
    <w:rsid w:val="305E54D0"/>
    <w:rsid w:val="305E56A9"/>
    <w:rsid w:val="30601421"/>
    <w:rsid w:val="3062519A"/>
    <w:rsid w:val="30640F12"/>
    <w:rsid w:val="306453B6"/>
    <w:rsid w:val="30696528"/>
    <w:rsid w:val="306A22A0"/>
    <w:rsid w:val="306C3FB4"/>
    <w:rsid w:val="306C4B59"/>
    <w:rsid w:val="306E3B3E"/>
    <w:rsid w:val="306E5142"/>
    <w:rsid w:val="306E6455"/>
    <w:rsid w:val="306E7FE2"/>
    <w:rsid w:val="30705B08"/>
    <w:rsid w:val="3071362F"/>
    <w:rsid w:val="307153DD"/>
    <w:rsid w:val="30726E0B"/>
    <w:rsid w:val="30731155"/>
    <w:rsid w:val="30744ECD"/>
    <w:rsid w:val="30751371"/>
    <w:rsid w:val="30752D67"/>
    <w:rsid w:val="30766E97"/>
    <w:rsid w:val="307750E9"/>
    <w:rsid w:val="30782C0F"/>
    <w:rsid w:val="3078676B"/>
    <w:rsid w:val="30794CA9"/>
    <w:rsid w:val="307A24E3"/>
    <w:rsid w:val="307B625B"/>
    <w:rsid w:val="307B75C9"/>
    <w:rsid w:val="30801AC4"/>
    <w:rsid w:val="30817EA3"/>
    <w:rsid w:val="308275EA"/>
    <w:rsid w:val="30840E28"/>
    <w:rsid w:val="308710A4"/>
    <w:rsid w:val="30882086"/>
    <w:rsid w:val="308B0B94"/>
    <w:rsid w:val="308B3F4E"/>
    <w:rsid w:val="308C0468"/>
    <w:rsid w:val="308E2433"/>
    <w:rsid w:val="3090035F"/>
    <w:rsid w:val="30915A7F"/>
    <w:rsid w:val="30924E08"/>
    <w:rsid w:val="309335A5"/>
    <w:rsid w:val="309537C1"/>
    <w:rsid w:val="309612E7"/>
    <w:rsid w:val="309644F8"/>
    <w:rsid w:val="3098505F"/>
    <w:rsid w:val="309F019C"/>
    <w:rsid w:val="309F44FF"/>
    <w:rsid w:val="30A13F14"/>
    <w:rsid w:val="30A27C8C"/>
    <w:rsid w:val="30A457B2"/>
    <w:rsid w:val="30A65852"/>
    <w:rsid w:val="30A77050"/>
    <w:rsid w:val="30AB4799"/>
    <w:rsid w:val="30AB6B41"/>
    <w:rsid w:val="30AE03DF"/>
    <w:rsid w:val="30B06208"/>
    <w:rsid w:val="30B21F41"/>
    <w:rsid w:val="30B33C47"/>
    <w:rsid w:val="30B55C11"/>
    <w:rsid w:val="30B73737"/>
    <w:rsid w:val="30B9756B"/>
    <w:rsid w:val="30BB2192"/>
    <w:rsid w:val="30BB2A2E"/>
    <w:rsid w:val="30BC6FA0"/>
    <w:rsid w:val="30BD4AC6"/>
    <w:rsid w:val="30BD5058"/>
    <w:rsid w:val="30BD6874"/>
    <w:rsid w:val="30BF439A"/>
    <w:rsid w:val="30C145B6"/>
    <w:rsid w:val="30C23E8A"/>
    <w:rsid w:val="30C25BF4"/>
    <w:rsid w:val="30C40B4C"/>
    <w:rsid w:val="30C4467E"/>
    <w:rsid w:val="30C85944"/>
    <w:rsid w:val="30C96FC7"/>
    <w:rsid w:val="30CB2D3F"/>
    <w:rsid w:val="30CC4D09"/>
    <w:rsid w:val="30CC6AB7"/>
    <w:rsid w:val="30CE2ED2"/>
    <w:rsid w:val="30D047F9"/>
    <w:rsid w:val="30D065A7"/>
    <w:rsid w:val="30D14FE9"/>
    <w:rsid w:val="30D342E9"/>
    <w:rsid w:val="30DA7426"/>
    <w:rsid w:val="30DC13F0"/>
    <w:rsid w:val="30DC4F4C"/>
    <w:rsid w:val="30DD0CC4"/>
    <w:rsid w:val="30DD2A72"/>
    <w:rsid w:val="30E12562"/>
    <w:rsid w:val="30E16A06"/>
    <w:rsid w:val="30E57AFE"/>
    <w:rsid w:val="30E6401D"/>
    <w:rsid w:val="30E65DCB"/>
    <w:rsid w:val="30E81B43"/>
    <w:rsid w:val="30E958BB"/>
    <w:rsid w:val="30EB33E1"/>
    <w:rsid w:val="30ED52A6"/>
    <w:rsid w:val="30ED7159"/>
    <w:rsid w:val="30F71D86"/>
    <w:rsid w:val="30F85AFE"/>
    <w:rsid w:val="30FA3624"/>
    <w:rsid w:val="30FA7AC8"/>
    <w:rsid w:val="30FC114A"/>
    <w:rsid w:val="30FD4EC2"/>
    <w:rsid w:val="30FF6E8C"/>
    <w:rsid w:val="31010E56"/>
    <w:rsid w:val="3102072B"/>
    <w:rsid w:val="31046251"/>
    <w:rsid w:val="3106021B"/>
    <w:rsid w:val="31061FC9"/>
    <w:rsid w:val="31077AEF"/>
    <w:rsid w:val="3108054C"/>
    <w:rsid w:val="310A0554"/>
    <w:rsid w:val="310A2DDF"/>
    <w:rsid w:val="310D15A9"/>
    <w:rsid w:val="310D3357"/>
    <w:rsid w:val="310D77FB"/>
    <w:rsid w:val="310E5321"/>
    <w:rsid w:val="310F3573"/>
    <w:rsid w:val="310F699B"/>
    <w:rsid w:val="31101099"/>
    <w:rsid w:val="31126CE6"/>
    <w:rsid w:val="311566B0"/>
    <w:rsid w:val="31175F84"/>
    <w:rsid w:val="31181417"/>
    <w:rsid w:val="31181CFC"/>
    <w:rsid w:val="31197F4E"/>
    <w:rsid w:val="311C17EC"/>
    <w:rsid w:val="311C7A3E"/>
    <w:rsid w:val="311D7312"/>
    <w:rsid w:val="311F752F"/>
    <w:rsid w:val="312132A7"/>
    <w:rsid w:val="31215055"/>
    <w:rsid w:val="312608BD"/>
    <w:rsid w:val="3126266B"/>
    <w:rsid w:val="31262BAF"/>
    <w:rsid w:val="31274283"/>
    <w:rsid w:val="312B7C81"/>
    <w:rsid w:val="312E1520"/>
    <w:rsid w:val="31307046"/>
    <w:rsid w:val="31344D88"/>
    <w:rsid w:val="31350B00"/>
    <w:rsid w:val="3135465C"/>
    <w:rsid w:val="31376626"/>
    <w:rsid w:val="3138414C"/>
    <w:rsid w:val="313905F0"/>
    <w:rsid w:val="313A6116"/>
    <w:rsid w:val="313A7EC4"/>
    <w:rsid w:val="313C5BDC"/>
    <w:rsid w:val="313E5C07"/>
    <w:rsid w:val="313E79B5"/>
    <w:rsid w:val="31413001"/>
    <w:rsid w:val="31440D43"/>
    <w:rsid w:val="31456F95"/>
    <w:rsid w:val="314618C4"/>
    <w:rsid w:val="31466869"/>
    <w:rsid w:val="31480833"/>
    <w:rsid w:val="31486DB5"/>
    <w:rsid w:val="314D409C"/>
    <w:rsid w:val="314D426D"/>
    <w:rsid w:val="314F1BC2"/>
    <w:rsid w:val="31501496"/>
    <w:rsid w:val="31522A38"/>
    <w:rsid w:val="315417EB"/>
    <w:rsid w:val="31572824"/>
    <w:rsid w:val="31592A40"/>
    <w:rsid w:val="315947EF"/>
    <w:rsid w:val="315A57EF"/>
    <w:rsid w:val="315C42DF"/>
    <w:rsid w:val="315C66BB"/>
    <w:rsid w:val="315E0DB5"/>
    <w:rsid w:val="316513E5"/>
    <w:rsid w:val="31660CB9"/>
    <w:rsid w:val="316B2774"/>
    <w:rsid w:val="316D2048"/>
    <w:rsid w:val="31723B02"/>
    <w:rsid w:val="31750EFD"/>
    <w:rsid w:val="3175714F"/>
    <w:rsid w:val="317653A0"/>
    <w:rsid w:val="3178194A"/>
    <w:rsid w:val="31794E91"/>
    <w:rsid w:val="317B29B7"/>
    <w:rsid w:val="317C228B"/>
    <w:rsid w:val="317C5CA4"/>
    <w:rsid w:val="317E1D05"/>
    <w:rsid w:val="317F3B29"/>
    <w:rsid w:val="31807FCD"/>
    <w:rsid w:val="3183186B"/>
    <w:rsid w:val="318555E4"/>
    <w:rsid w:val="318577D7"/>
    <w:rsid w:val="31886E82"/>
    <w:rsid w:val="318A3E34"/>
    <w:rsid w:val="318B3763"/>
    <w:rsid w:val="318B62FF"/>
    <w:rsid w:val="318D4498"/>
    <w:rsid w:val="318D6246"/>
    <w:rsid w:val="318E3ACA"/>
    <w:rsid w:val="31905D36"/>
    <w:rsid w:val="31921AAF"/>
    <w:rsid w:val="31943A79"/>
    <w:rsid w:val="31943F2B"/>
    <w:rsid w:val="3196159F"/>
    <w:rsid w:val="319677F1"/>
    <w:rsid w:val="3198586F"/>
    <w:rsid w:val="31993C0A"/>
    <w:rsid w:val="319C46DB"/>
    <w:rsid w:val="319E66A5"/>
    <w:rsid w:val="319F5F79"/>
    <w:rsid w:val="31A11683"/>
    <w:rsid w:val="31A12505"/>
    <w:rsid w:val="31A16195"/>
    <w:rsid w:val="31A31F0E"/>
    <w:rsid w:val="31A43A20"/>
    <w:rsid w:val="31A55C86"/>
    <w:rsid w:val="31A83080"/>
    <w:rsid w:val="31A87524"/>
    <w:rsid w:val="31AC410D"/>
    <w:rsid w:val="31AD0696"/>
    <w:rsid w:val="31AD4AD2"/>
    <w:rsid w:val="31AF440F"/>
    <w:rsid w:val="31B163D9"/>
    <w:rsid w:val="31B23EFF"/>
    <w:rsid w:val="31B41A25"/>
    <w:rsid w:val="31B45EC9"/>
    <w:rsid w:val="31B47C77"/>
    <w:rsid w:val="31B6078B"/>
    <w:rsid w:val="31B639EF"/>
    <w:rsid w:val="31B672C5"/>
    <w:rsid w:val="31B70755"/>
    <w:rsid w:val="31B735DD"/>
    <w:rsid w:val="31B77767"/>
    <w:rsid w:val="31BC19F6"/>
    <w:rsid w:val="31BC4D7D"/>
    <w:rsid w:val="31C139EA"/>
    <w:rsid w:val="31C14142"/>
    <w:rsid w:val="31C143D8"/>
    <w:rsid w:val="31C3610C"/>
    <w:rsid w:val="31C36CF8"/>
    <w:rsid w:val="31C40EA0"/>
    <w:rsid w:val="31C53C32"/>
    <w:rsid w:val="31C559E0"/>
    <w:rsid w:val="31C75BFC"/>
    <w:rsid w:val="31C83722"/>
    <w:rsid w:val="31C854D0"/>
    <w:rsid w:val="31C97385"/>
    <w:rsid w:val="31CB130E"/>
    <w:rsid w:val="31CB2A45"/>
    <w:rsid w:val="31CC3212"/>
    <w:rsid w:val="31CD40BC"/>
    <w:rsid w:val="31CD6F8B"/>
    <w:rsid w:val="31CF4AB1"/>
    <w:rsid w:val="31CF685F"/>
    <w:rsid w:val="31D10829"/>
    <w:rsid w:val="31D40319"/>
    <w:rsid w:val="31D420C7"/>
    <w:rsid w:val="31D67BED"/>
    <w:rsid w:val="31DA35B5"/>
    <w:rsid w:val="31DB16A7"/>
    <w:rsid w:val="31DB3455"/>
    <w:rsid w:val="31DB5204"/>
    <w:rsid w:val="31DC0F7C"/>
    <w:rsid w:val="31DE2F46"/>
    <w:rsid w:val="31DE4CF4"/>
    <w:rsid w:val="31E00A6C"/>
    <w:rsid w:val="31E0281A"/>
    <w:rsid w:val="31E06CBE"/>
    <w:rsid w:val="31E07961"/>
    <w:rsid w:val="31E10F22"/>
    <w:rsid w:val="31E22A36"/>
    <w:rsid w:val="31E3230A"/>
    <w:rsid w:val="31E70327"/>
    <w:rsid w:val="31E83DC4"/>
    <w:rsid w:val="31EA3AF9"/>
    <w:rsid w:val="31EA5447"/>
    <w:rsid w:val="31EC11BC"/>
    <w:rsid w:val="31EC7411"/>
    <w:rsid w:val="31ED6C9B"/>
    <w:rsid w:val="31EE13DB"/>
    <w:rsid w:val="31EF5A55"/>
    <w:rsid w:val="31F12C79"/>
    <w:rsid w:val="31F2079F"/>
    <w:rsid w:val="31F24947"/>
    <w:rsid w:val="31F462C5"/>
    <w:rsid w:val="31F87078"/>
    <w:rsid w:val="31F938DC"/>
    <w:rsid w:val="31FC33CC"/>
    <w:rsid w:val="31FE41E1"/>
    <w:rsid w:val="31FF5ABB"/>
    <w:rsid w:val="32024E86"/>
    <w:rsid w:val="320557CC"/>
    <w:rsid w:val="32077C07"/>
    <w:rsid w:val="320A3D3B"/>
    <w:rsid w:val="320A7897"/>
    <w:rsid w:val="320D55D9"/>
    <w:rsid w:val="320F1351"/>
    <w:rsid w:val="32111360"/>
    <w:rsid w:val="32130E41"/>
    <w:rsid w:val="32132BEF"/>
    <w:rsid w:val="32157CE1"/>
    <w:rsid w:val="321626E0"/>
    <w:rsid w:val="32171FB4"/>
    <w:rsid w:val="32180206"/>
    <w:rsid w:val="32195D2C"/>
    <w:rsid w:val="321B5F48"/>
    <w:rsid w:val="321B7CF6"/>
    <w:rsid w:val="321D3A6E"/>
    <w:rsid w:val="321E77E6"/>
    <w:rsid w:val="32221084"/>
    <w:rsid w:val="32244DFC"/>
    <w:rsid w:val="322620F6"/>
    <w:rsid w:val="32286157"/>
    <w:rsid w:val="322A7F39"/>
    <w:rsid w:val="322C3CB1"/>
    <w:rsid w:val="322E7A29"/>
    <w:rsid w:val="323073DF"/>
    <w:rsid w:val="32313075"/>
    <w:rsid w:val="323135EB"/>
    <w:rsid w:val="32326DEE"/>
    <w:rsid w:val="3233551E"/>
    <w:rsid w:val="32342B66"/>
    <w:rsid w:val="3235075B"/>
    <w:rsid w:val="32364B30"/>
    <w:rsid w:val="32382656"/>
    <w:rsid w:val="32384404"/>
    <w:rsid w:val="32391589"/>
    <w:rsid w:val="323A6E2B"/>
    <w:rsid w:val="323B0398"/>
    <w:rsid w:val="323B5CA2"/>
    <w:rsid w:val="323C5A5D"/>
    <w:rsid w:val="323C76F7"/>
    <w:rsid w:val="323D7C6C"/>
    <w:rsid w:val="32430FFB"/>
    <w:rsid w:val="3243100D"/>
    <w:rsid w:val="32432DA9"/>
    <w:rsid w:val="3244724D"/>
    <w:rsid w:val="32456B21"/>
    <w:rsid w:val="324616E0"/>
    <w:rsid w:val="32477596"/>
    <w:rsid w:val="324803BF"/>
    <w:rsid w:val="324A2389"/>
    <w:rsid w:val="324C6402"/>
    <w:rsid w:val="324E00CB"/>
    <w:rsid w:val="324F174E"/>
    <w:rsid w:val="324F5BF1"/>
    <w:rsid w:val="32502792"/>
    <w:rsid w:val="325064AA"/>
    <w:rsid w:val="325154C6"/>
    <w:rsid w:val="32566F80"/>
    <w:rsid w:val="32594867"/>
    <w:rsid w:val="325A6A70"/>
    <w:rsid w:val="325B0FE6"/>
    <w:rsid w:val="325D20BC"/>
    <w:rsid w:val="325E4D95"/>
    <w:rsid w:val="32601BAD"/>
    <w:rsid w:val="3260465F"/>
    <w:rsid w:val="32607DFF"/>
    <w:rsid w:val="32612937"/>
    <w:rsid w:val="32625925"/>
    <w:rsid w:val="326276D3"/>
    <w:rsid w:val="3264169D"/>
    <w:rsid w:val="3267118D"/>
    <w:rsid w:val="32674CE9"/>
    <w:rsid w:val="326A2A2B"/>
    <w:rsid w:val="326A47D9"/>
    <w:rsid w:val="326A6587"/>
    <w:rsid w:val="326D6980"/>
    <w:rsid w:val="326F1422"/>
    <w:rsid w:val="327306FD"/>
    <w:rsid w:val="32737B32"/>
    <w:rsid w:val="32745651"/>
    <w:rsid w:val="32780CA4"/>
    <w:rsid w:val="32794A1C"/>
    <w:rsid w:val="327B2543"/>
    <w:rsid w:val="327C3D89"/>
    <w:rsid w:val="327D17AF"/>
    <w:rsid w:val="327D275F"/>
    <w:rsid w:val="327D62BB"/>
    <w:rsid w:val="32821B23"/>
    <w:rsid w:val="328238D1"/>
    <w:rsid w:val="32843928"/>
    <w:rsid w:val="32870EE7"/>
    <w:rsid w:val="32892EB1"/>
    <w:rsid w:val="328A6C2A"/>
    <w:rsid w:val="328B5243"/>
    <w:rsid w:val="328D3845"/>
    <w:rsid w:val="328E671A"/>
    <w:rsid w:val="32931F82"/>
    <w:rsid w:val="32935ADE"/>
    <w:rsid w:val="32954240"/>
    <w:rsid w:val="3296737C"/>
    <w:rsid w:val="329830F5"/>
    <w:rsid w:val="32990C1B"/>
    <w:rsid w:val="329A50BF"/>
    <w:rsid w:val="329B2BE5"/>
    <w:rsid w:val="329D394F"/>
    <w:rsid w:val="32A001FB"/>
    <w:rsid w:val="32A0644D"/>
    <w:rsid w:val="32A10BAA"/>
    <w:rsid w:val="32A26E1B"/>
    <w:rsid w:val="32A30753"/>
    <w:rsid w:val="32A45F3D"/>
    <w:rsid w:val="32A55811"/>
    <w:rsid w:val="32A61CB5"/>
    <w:rsid w:val="32A7158A"/>
    <w:rsid w:val="32A73338"/>
    <w:rsid w:val="32A93554"/>
    <w:rsid w:val="32AB107A"/>
    <w:rsid w:val="32AB72CC"/>
    <w:rsid w:val="32AC094E"/>
    <w:rsid w:val="32AC6BA0"/>
    <w:rsid w:val="32AF09B7"/>
    <w:rsid w:val="32B048E2"/>
    <w:rsid w:val="32B13BE4"/>
    <w:rsid w:val="32B21B2F"/>
    <w:rsid w:val="32B31CDC"/>
    <w:rsid w:val="32B55A55"/>
    <w:rsid w:val="32B83797"/>
    <w:rsid w:val="32B85545"/>
    <w:rsid w:val="32BD2B5B"/>
    <w:rsid w:val="32BF4B25"/>
    <w:rsid w:val="32BF68D3"/>
    <w:rsid w:val="32C043F9"/>
    <w:rsid w:val="32C1089D"/>
    <w:rsid w:val="32C16A53"/>
    <w:rsid w:val="32C35685"/>
    <w:rsid w:val="32C6443A"/>
    <w:rsid w:val="32C65EB4"/>
    <w:rsid w:val="32C71C2C"/>
    <w:rsid w:val="32C959A4"/>
    <w:rsid w:val="32CB171C"/>
    <w:rsid w:val="32CE2FBA"/>
    <w:rsid w:val="32D0288E"/>
    <w:rsid w:val="32D06D32"/>
    <w:rsid w:val="32D15BEA"/>
    <w:rsid w:val="32D332B5"/>
    <w:rsid w:val="32D54349"/>
    <w:rsid w:val="32D61E6F"/>
    <w:rsid w:val="32D8384A"/>
    <w:rsid w:val="32D85BE7"/>
    <w:rsid w:val="32DC2756"/>
    <w:rsid w:val="32DD31FD"/>
    <w:rsid w:val="32E02F1F"/>
    <w:rsid w:val="32E0346C"/>
    <w:rsid w:val="32E12CEE"/>
    <w:rsid w:val="32E4458C"/>
    <w:rsid w:val="32E77BD8"/>
    <w:rsid w:val="32EB1476"/>
    <w:rsid w:val="32ED1692"/>
    <w:rsid w:val="32EE0F67"/>
    <w:rsid w:val="32EF6EC5"/>
    <w:rsid w:val="32F02F31"/>
    <w:rsid w:val="32F02F60"/>
    <w:rsid w:val="32F10A57"/>
    <w:rsid w:val="32F26CA9"/>
    <w:rsid w:val="32F32A21"/>
    <w:rsid w:val="32F42D71"/>
    <w:rsid w:val="32F6606D"/>
    <w:rsid w:val="32F719A3"/>
    <w:rsid w:val="32F95CB7"/>
    <w:rsid w:val="32FA790B"/>
    <w:rsid w:val="32FC7B27"/>
    <w:rsid w:val="33022C64"/>
    <w:rsid w:val="33024A12"/>
    <w:rsid w:val="33043FA7"/>
    <w:rsid w:val="330469DC"/>
    <w:rsid w:val="33077209"/>
    <w:rsid w:val="330B38C7"/>
    <w:rsid w:val="330E33B7"/>
    <w:rsid w:val="330E70A8"/>
    <w:rsid w:val="33114C55"/>
    <w:rsid w:val="33116A44"/>
    <w:rsid w:val="331229EA"/>
    <w:rsid w:val="3316226B"/>
    <w:rsid w:val="33182487"/>
    <w:rsid w:val="33184235"/>
    <w:rsid w:val="33185FE3"/>
    <w:rsid w:val="331A1D5C"/>
    <w:rsid w:val="331D184C"/>
    <w:rsid w:val="331F3816"/>
    <w:rsid w:val="33235DEF"/>
    <w:rsid w:val="332364E3"/>
    <w:rsid w:val="332532E0"/>
    <w:rsid w:val="33274478"/>
    <w:rsid w:val="332901F1"/>
    <w:rsid w:val="332B21BB"/>
    <w:rsid w:val="332B5D17"/>
    <w:rsid w:val="332C1A8F"/>
    <w:rsid w:val="332D5F33"/>
    <w:rsid w:val="332E5807"/>
    <w:rsid w:val="333003F3"/>
    <w:rsid w:val="33301B34"/>
    <w:rsid w:val="33302999"/>
    <w:rsid w:val="3330332D"/>
    <w:rsid w:val="3333106F"/>
    <w:rsid w:val="3334695E"/>
    <w:rsid w:val="333472C1"/>
    <w:rsid w:val="33370B5F"/>
    <w:rsid w:val="333A41AC"/>
    <w:rsid w:val="333B5506"/>
    <w:rsid w:val="333F3E87"/>
    <w:rsid w:val="333F5C66"/>
    <w:rsid w:val="333F7A14"/>
    <w:rsid w:val="3341378C"/>
    <w:rsid w:val="3341553A"/>
    <w:rsid w:val="33447CF9"/>
    <w:rsid w:val="334868C9"/>
    <w:rsid w:val="334D3839"/>
    <w:rsid w:val="334E7C57"/>
    <w:rsid w:val="334F40FB"/>
    <w:rsid w:val="3350629C"/>
    <w:rsid w:val="335135AD"/>
    <w:rsid w:val="335214F5"/>
    <w:rsid w:val="33525999"/>
    <w:rsid w:val="335334BF"/>
    <w:rsid w:val="3353526D"/>
    <w:rsid w:val="33572FB0"/>
    <w:rsid w:val="33577870"/>
    <w:rsid w:val="33590AD6"/>
    <w:rsid w:val="335A65FC"/>
    <w:rsid w:val="335C2374"/>
    <w:rsid w:val="335C4122"/>
    <w:rsid w:val="335F1E64"/>
    <w:rsid w:val="33631954"/>
    <w:rsid w:val="336456CD"/>
    <w:rsid w:val="3364747B"/>
    <w:rsid w:val="33673093"/>
    <w:rsid w:val="33677B8F"/>
    <w:rsid w:val="336851BD"/>
    <w:rsid w:val="3369683F"/>
    <w:rsid w:val="336B2EA4"/>
    <w:rsid w:val="336B6A5B"/>
    <w:rsid w:val="336D27D3"/>
    <w:rsid w:val="336D632F"/>
    <w:rsid w:val="336E20A7"/>
    <w:rsid w:val="336F70E4"/>
    <w:rsid w:val="337156D3"/>
    <w:rsid w:val="33753436"/>
    <w:rsid w:val="337551E4"/>
    <w:rsid w:val="33775400"/>
    <w:rsid w:val="337771AE"/>
    <w:rsid w:val="337C2EF9"/>
    <w:rsid w:val="337E08C4"/>
    <w:rsid w:val="337E0C62"/>
    <w:rsid w:val="337E678E"/>
    <w:rsid w:val="337F1800"/>
    <w:rsid w:val="337F42B4"/>
    <w:rsid w:val="3381002D"/>
    <w:rsid w:val="3381627F"/>
    <w:rsid w:val="33837901"/>
    <w:rsid w:val="33843679"/>
    <w:rsid w:val="33893D77"/>
    <w:rsid w:val="338A5133"/>
    <w:rsid w:val="338B2639"/>
    <w:rsid w:val="338B4A07"/>
    <w:rsid w:val="338C391E"/>
    <w:rsid w:val="338D077F"/>
    <w:rsid w:val="338E62A6"/>
    <w:rsid w:val="33922C06"/>
    <w:rsid w:val="33945FB2"/>
    <w:rsid w:val="33953AD8"/>
    <w:rsid w:val="33955886"/>
    <w:rsid w:val="339715FE"/>
    <w:rsid w:val="33977850"/>
    <w:rsid w:val="33983602"/>
    <w:rsid w:val="339A2E9C"/>
    <w:rsid w:val="339C4E66"/>
    <w:rsid w:val="339E298D"/>
    <w:rsid w:val="33A31D51"/>
    <w:rsid w:val="33A41BA5"/>
    <w:rsid w:val="33A53D1B"/>
    <w:rsid w:val="33A65CE5"/>
    <w:rsid w:val="33A8380B"/>
    <w:rsid w:val="33A855B9"/>
    <w:rsid w:val="33A87367"/>
    <w:rsid w:val="33AA1331"/>
    <w:rsid w:val="33AB1A78"/>
    <w:rsid w:val="33AB50A9"/>
    <w:rsid w:val="33AB6E58"/>
    <w:rsid w:val="33AC25F0"/>
    <w:rsid w:val="33AD0E22"/>
    <w:rsid w:val="33AD7074"/>
    <w:rsid w:val="33AF4B9A"/>
    <w:rsid w:val="33B201E6"/>
    <w:rsid w:val="33B4169A"/>
    <w:rsid w:val="33B42B10"/>
    <w:rsid w:val="33B51F64"/>
    <w:rsid w:val="33B73A4E"/>
    <w:rsid w:val="33B757FC"/>
    <w:rsid w:val="33B823B2"/>
    <w:rsid w:val="33BA709B"/>
    <w:rsid w:val="33BC2E13"/>
    <w:rsid w:val="33C148CD"/>
    <w:rsid w:val="33C30645"/>
    <w:rsid w:val="33C323F3"/>
    <w:rsid w:val="33C341A1"/>
    <w:rsid w:val="33C50269"/>
    <w:rsid w:val="33C57F19"/>
    <w:rsid w:val="33C63C91"/>
    <w:rsid w:val="33C77B10"/>
    <w:rsid w:val="33C817B8"/>
    <w:rsid w:val="33C85C5B"/>
    <w:rsid w:val="33CB12A8"/>
    <w:rsid w:val="33CE3CE5"/>
    <w:rsid w:val="33CF0D98"/>
    <w:rsid w:val="33CF2B46"/>
    <w:rsid w:val="33D04B10"/>
    <w:rsid w:val="33D12D62"/>
    <w:rsid w:val="33D6148D"/>
    <w:rsid w:val="33D67F1A"/>
    <w:rsid w:val="33D77C4D"/>
    <w:rsid w:val="33D87B9A"/>
    <w:rsid w:val="33D91F25"/>
    <w:rsid w:val="33D95773"/>
    <w:rsid w:val="33D9667A"/>
    <w:rsid w:val="33D97E69"/>
    <w:rsid w:val="33DA55A4"/>
    <w:rsid w:val="33DE0FDB"/>
    <w:rsid w:val="33DE722D"/>
    <w:rsid w:val="33DF3FEB"/>
    <w:rsid w:val="33E02FA5"/>
    <w:rsid w:val="33E34843"/>
    <w:rsid w:val="33E505BB"/>
    <w:rsid w:val="33E52369"/>
    <w:rsid w:val="33E67E90"/>
    <w:rsid w:val="33E74334"/>
    <w:rsid w:val="33E81E5A"/>
    <w:rsid w:val="33EA3850"/>
    <w:rsid w:val="33EB0FE6"/>
    <w:rsid w:val="33EF414B"/>
    <w:rsid w:val="33F20F2A"/>
    <w:rsid w:val="33F22CD8"/>
    <w:rsid w:val="33F33F5C"/>
    <w:rsid w:val="33F627C9"/>
    <w:rsid w:val="33F97BC3"/>
    <w:rsid w:val="33FB7DDF"/>
    <w:rsid w:val="33FD3B57"/>
    <w:rsid w:val="33FF7F7E"/>
    <w:rsid w:val="3402227D"/>
    <w:rsid w:val="34030A42"/>
    <w:rsid w:val="34050C5E"/>
    <w:rsid w:val="340622E0"/>
    <w:rsid w:val="340824FC"/>
    <w:rsid w:val="340842AA"/>
    <w:rsid w:val="3409735C"/>
    <w:rsid w:val="340A3FF0"/>
    <w:rsid w:val="340B21E3"/>
    <w:rsid w:val="340B78F6"/>
    <w:rsid w:val="340C2973"/>
    <w:rsid w:val="340C3D9A"/>
    <w:rsid w:val="340E0B64"/>
    <w:rsid w:val="340F388A"/>
    <w:rsid w:val="340F5638"/>
    <w:rsid w:val="340F73E6"/>
    <w:rsid w:val="34120C85"/>
    <w:rsid w:val="341215C2"/>
    <w:rsid w:val="341344FC"/>
    <w:rsid w:val="3413609D"/>
    <w:rsid w:val="34164C19"/>
    <w:rsid w:val="34185F28"/>
    <w:rsid w:val="341E1D1F"/>
    <w:rsid w:val="341E3ACD"/>
    <w:rsid w:val="341E587B"/>
    <w:rsid w:val="3422536C"/>
    <w:rsid w:val="342509B8"/>
    <w:rsid w:val="3425595B"/>
    <w:rsid w:val="34274EEA"/>
    <w:rsid w:val="3428494C"/>
    <w:rsid w:val="342973F2"/>
    <w:rsid w:val="342A033D"/>
    <w:rsid w:val="342A2472"/>
    <w:rsid w:val="342A4220"/>
    <w:rsid w:val="342A5BA5"/>
    <w:rsid w:val="342B1D46"/>
    <w:rsid w:val="342C54EE"/>
    <w:rsid w:val="34311A53"/>
    <w:rsid w:val="34313801"/>
    <w:rsid w:val="3434509F"/>
    <w:rsid w:val="34362BC5"/>
    <w:rsid w:val="34367069"/>
    <w:rsid w:val="34384B8F"/>
    <w:rsid w:val="34394463"/>
    <w:rsid w:val="343A7E32"/>
    <w:rsid w:val="343E5F1E"/>
    <w:rsid w:val="344057F2"/>
    <w:rsid w:val="344352E2"/>
    <w:rsid w:val="344415E9"/>
    <w:rsid w:val="34441786"/>
    <w:rsid w:val="34452E08"/>
    <w:rsid w:val="344572AC"/>
    <w:rsid w:val="34473024"/>
    <w:rsid w:val="34491C1C"/>
    <w:rsid w:val="344A0DB7"/>
    <w:rsid w:val="344A2B14"/>
    <w:rsid w:val="344D6161"/>
    <w:rsid w:val="344E43B3"/>
    <w:rsid w:val="345179FF"/>
    <w:rsid w:val="34525525"/>
    <w:rsid w:val="345319C9"/>
    <w:rsid w:val="34533777"/>
    <w:rsid w:val="34565015"/>
    <w:rsid w:val="34586FDF"/>
    <w:rsid w:val="3459310A"/>
    <w:rsid w:val="345B6AD0"/>
    <w:rsid w:val="345F2A91"/>
    <w:rsid w:val="34605E94"/>
    <w:rsid w:val="3461446D"/>
    <w:rsid w:val="346144FA"/>
    <w:rsid w:val="346534AA"/>
    <w:rsid w:val="34670FD0"/>
    <w:rsid w:val="34675474"/>
    <w:rsid w:val="346A286F"/>
    <w:rsid w:val="346D235F"/>
    <w:rsid w:val="3474193F"/>
    <w:rsid w:val="347436ED"/>
    <w:rsid w:val="347656B7"/>
    <w:rsid w:val="34776692"/>
    <w:rsid w:val="34781430"/>
    <w:rsid w:val="347A51A8"/>
    <w:rsid w:val="347B0F20"/>
    <w:rsid w:val="347B2C27"/>
    <w:rsid w:val="347B2CCE"/>
    <w:rsid w:val="347D25A2"/>
    <w:rsid w:val="347D6A46"/>
    <w:rsid w:val="347F00F6"/>
    <w:rsid w:val="34802092"/>
    <w:rsid w:val="3482441C"/>
    <w:rsid w:val="348558FB"/>
    <w:rsid w:val="348576A9"/>
    <w:rsid w:val="348778C5"/>
    <w:rsid w:val="3489363D"/>
    <w:rsid w:val="348953EB"/>
    <w:rsid w:val="348C0A37"/>
    <w:rsid w:val="3491429F"/>
    <w:rsid w:val="34917CBD"/>
    <w:rsid w:val="34945B3E"/>
    <w:rsid w:val="34951FE2"/>
    <w:rsid w:val="349618B6"/>
    <w:rsid w:val="34967B08"/>
    <w:rsid w:val="349A13A6"/>
    <w:rsid w:val="349E2F7E"/>
    <w:rsid w:val="349F158C"/>
    <w:rsid w:val="34A0589E"/>
    <w:rsid w:val="34A118FF"/>
    <w:rsid w:val="34A22009"/>
    <w:rsid w:val="34A22AE6"/>
    <w:rsid w:val="34A83397"/>
    <w:rsid w:val="34A915E9"/>
    <w:rsid w:val="34A9783B"/>
    <w:rsid w:val="34AB35B3"/>
    <w:rsid w:val="34AC2E87"/>
    <w:rsid w:val="34AE30A3"/>
    <w:rsid w:val="34AF0359"/>
    <w:rsid w:val="34AF1476"/>
    <w:rsid w:val="34AF2977"/>
    <w:rsid w:val="34B00BC9"/>
    <w:rsid w:val="34B14942"/>
    <w:rsid w:val="34B1503B"/>
    <w:rsid w:val="34B32468"/>
    <w:rsid w:val="34B34216"/>
    <w:rsid w:val="34B451A4"/>
    <w:rsid w:val="34B468E5"/>
    <w:rsid w:val="34B54432"/>
    <w:rsid w:val="34B63D06"/>
    <w:rsid w:val="34B87A7E"/>
    <w:rsid w:val="34BB30CA"/>
    <w:rsid w:val="34BD32E6"/>
    <w:rsid w:val="34C04B85"/>
    <w:rsid w:val="34C04E88"/>
    <w:rsid w:val="34C06702"/>
    <w:rsid w:val="34C17667"/>
    <w:rsid w:val="34C53F49"/>
    <w:rsid w:val="34C71A6F"/>
    <w:rsid w:val="34C74165"/>
    <w:rsid w:val="34C93A39"/>
    <w:rsid w:val="34CA0803"/>
    <w:rsid w:val="34CA155F"/>
    <w:rsid w:val="34CB6758"/>
    <w:rsid w:val="34CC177B"/>
    <w:rsid w:val="34CC65D3"/>
    <w:rsid w:val="34CF6B76"/>
    <w:rsid w:val="34D0301A"/>
    <w:rsid w:val="34D16D92"/>
    <w:rsid w:val="34D32B0A"/>
    <w:rsid w:val="34D4418C"/>
    <w:rsid w:val="34D67F04"/>
    <w:rsid w:val="34D7310F"/>
    <w:rsid w:val="34DA79F4"/>
    <w:rsid w:val="34DB19BE"/>
    <w:rsid w:val="34DC5D6B"/>
    <w:rsid w:val="34DD74E5"/>
    <w:rsid w:val="34DF325D"/>
    <w:rsid w:val="34DF500B"/>
    <w:rsid w:val="34E16FD5"/>
    <w:rsid w:val="34E24AFB"/>
    <w:rsid w:val="34E50E91"/>
    <w:rsid w:val="34E72111"/>
    <w:rsid w:val="34E814C3"/>
    <w:rsid w:val="34E95E89"/>
    <w:rsid w:val="34EC3BCC"/>
    <w:rsid w:val="34EC7728"/>
    <w:rsid w:val="34EE16F2"/>
    <w:rsid w:val="34EE524E"/>
    <w:rsid w:val="34F0546A"/>
    <w:rsid w:val="34F07218"/>
    <w:rsid w:val="34F14D3E"/>
    <w:rsid w:val="34F32864"/>
    <w:rsid w:val="34F36D08"/>
    <w:rsid w:val="34F52A80"/>
    <w:rsid w:val="34F5482E"/>
    <w:rsid w:val="34F82570"/>
    <w:rsid w:val="34F83C0C"/>
    <w:rsid w:val="34F8431E"/>
    <w:rsid w:val="34F97E4B"/>
    <w:rsid w:val="34FD2CC6"/>
    <w:rsid w:val="34FD36E3"/>
    <w:rsid w:val="34FD7B87"/>
    <w:rsid w:val="34FF745B"/>
    <w:rsid w:val="3500231B"/>
    <w:rsid w:val="350031D3"/>
    <w:rsid w:val="35016E00"/>
    <w:rsid w:val="35030C9C"/>
    <w:rsid w:val="35050DD3"/>
    <w:rsid w:val="35053B7D"/>
    <w:rsid w:val="350607E9"/>
    <w:rsid w:val="35066905"/>
    <w:rsid w:val="35076310"/>
    <w:rsid w:val="35081F3D"/>
    <w:rsid w:val="3508367E"/>
    <w:rsid w:val="350B22A4"/>
    <w:rsid w:val="351006CF"/>
    <w:rsid w:val="35103416"/>
    <w:rsid w:val="351132A0"/>
    <w:rsid w:val="3511718E"/>
    <w:rsid w:val="35123632"/>
    <w:rsid w:val="35131158"/>
    <w:rsid w:val="35164541"/>
    <w:rsid w:val="35187E08"/>
    <w:rsid w:val="351B6F23"/>
    <w:rsid w:val="351C625F"/>
    <w:rsid w:val="351F3659"/>
    <w:rsid w:val="351F684A"/>
    <w:rsid w:val="35213875"/>
    <w:rsid w:val="35215623"/>
    <w:rsid w:val="35246EC1"/>
    <w:rsid w:val="352754C6"/>
    <w:rsid w:val="352C3FC8"/>
    <w:rsid w:val="352E7D40"/>
    <w:rsid w:val="35305866"/>
    <w:rsid w:val="3531125E"/>
    <w:rsid w:val="35325A82"/>
    <w:rsid w:val="353335A8"/>
    <w:rsid w:val="35374E47"/>
    <w:rsid w:val="35377D5A"/>
    <w:rsid w:val="3538602B"/>
    <w:rsid w:val="35386E11"/>
    <w:rsid w:val="353A0493"/>
    <w:rsid w:val="353B4DCC"/>
    <w:rsid w:val="353D7F83"/>
    <w:rsid w:val="353F3CFB"/>
    <w:rsid w:val="35411630"/>
    <w:rsid w:val="35411821"/>
    <w:rsid w:val="35417A73"/>
    <w:rsid w:val="354220CE"/>
    <w:rsid w:val="35450A4F"/>
    <w:rsid w:val="35452190"/>
    <w:rsid w:val="3545783E"/>
    <w:rsid w:val="3546508A"/>
    <w:rsid w:val="35466E38"/>
    <w:rsid w:val="35474AB0"/>
    <w:rsid w:val="35487054"/>
    <w:rsid w:val="35496928"/>
    <w:rsid w:val="354D6418"/>
    <w:rsid w:val="35505F08"/>
    <w:rsid w:val="355157DD"/>
    <w:rsid w:val="35521BC3"/>
    <w:rsid w:val="35535965"/>
    <w:rsid w:val="355359F9"/>
    <w:rsid w:val="355377A7"/>
    <w:rsid w:val="355754E9"/>
    <w:rsid w:val="35587542"/>
    <w:rsid w:val="355E0625"/>
    <w:rsid w:val="355F41C7"/>
    <w:rsid w:val="355F439E"/>
    <w:rsid w:val="355F614C"/>
    <w:rsid w:val="35611EC4"/>
    <w:rsid w:val="3566572C"/>
    <w:rsid w:val="356674DA"/>
    <w:rsid w:val="35683252"/>
    <w:rsid w:val="35690D78"/>
    <w:rsid w:val="3569521C"/>
    <w:rsid w:val="356D0868"/>
    <w:rsid w:val="356D6ABA"/>
    <w:rsid w:val="356E2F43"/>
    <w:rsid w:val="356E7C5B"/>
    <w:rsid w:val="35727C2D"/>
    <w:rsid w:val="35747E49"/>
    <w:rsid w:val="3575596F"/>
    <w:rsid w:val="3578720D"/>
    <w:rsid w:val="357B2720"/>
    <w:rsid w:val="357C6CFE"/>
    <w:rsid w:val="357D65D2"/>
    <w:rsid w:val="357E2A76"/>
    <w:rsid w:val="35812566"/>
    <w:rsid w:val="35814314"/>
    <w:rsid w:val="35867B7C"/>
    <w:rsid w:val="358838F4"/>
    <w:rsid w:val="358B0CEF"/>
    <w:rsid w:val="358B5193"/>
    <w:rsid w:val="358F05CF"/>
    <w:rsid w:val="35902FF5"/>
    <w:rsid w:val="359202CF"/>
    <w:rsid w:val="35926521"/>
    <w:rsid w:val="35931348"/>
    <w:rsid w:val="35935DF5"/>
    <w:rsid w:val="35944047"/>
    <w:rsid w:val="35951B6D"/>
    <w:rsid w:val="35957DBF"/>
    <w:rsid w:val="35977693"/>
    <w:rsid w:val="359A4D8B"/>
    <w:rsid w:val="359C114E"/>
    <w:rsid w:val="359C2EFC"/>
    <w:rsid w:val="359E6C74"/>
    <w:rsid w:val="359F29EC"/>
    <w:rsid w:val="359F479A"/>
    <w:rsid w:val="35A16764"/>
    <w:rsid w:val="35A40002"/>
    <w:rsid w:val="35A85D44"/>
    <w:rsid w:val="35AF55A2"/>
    <w:rsid w:val="35B00755"/>
    <w:rsid w:val="35B03DBA"/>
    <w:rsid w:val="35B2271F"/>
    <w:rsid w:val="35B244CD"/>
    <w:rsid w:val="35B5220F"/>
    <w:rsid w:val="35B538E8"/>
    <w:rsid w:val="35BA7826"/>
    <w:rsid w:val="35BB5A78"/>
    <w:rsid w:val="35BB6E36"/>
    <w:rsid w:val="35BC17F0"/>
    <w:rsid w:val="35BD0D94"/>
    <w:rsid w:val="35BE7316"/>
    <w:rsid w:val="35C236B1"/>
    <w:rsid w:val="35C506A4"/>
    <w:rsid w:val="35C6441D"/>
    <w:rsid w:val="35C66D41"/>
    <w:rsid w:val="35C67F79"/>
    <w:rsid w:val="35C81F43"/>
    <w:rsid w:val="35C97A69"/>
    <w:rsid w:val="35CA11B9"/>
    <w:rsid w:val="35CB37E1"/>
    <w:rsid w:val="35CC3135"/>
    <w:rsid w:val="35CC4B52"/>
    <w:rsid w:val="35CD1307"/>
    <w:rsid w:val="35CD57AB"/>
    <w:rsid w:val="35CF32D1"/>
    <w:rsid w:val="35D00488"/>
    <w:rsid w:val="35D2691D"/>
    <w:rsid w:val="35D76BCF"/>
    <w:rsid w:val="35DA584C"/>
    <w:rsid w:val="35DB7EC8"/>
    <w:rsid w:val="35DC016C"/>
    <w:rsid w:val="35DC779C"/>
    <w:rsid w:val="35DE019D"/>
    <w:rsid w:val="35DE3514"/>
    <w:rsid w:val="35DE52C2"/>
    <w:rsid w:val="35DF6AED"/>
    <w:rsid w:val="35E13004"/>
    <w:rsid w:val="35E14DB3"/>
    <w:rsid w:val="35E25893"/>
    <w:rsid w:val="35E30B2B"/>
    <w:rsid w:val="35E46651"/>
    <w:rsid w:val="35E52AF5"/>
    <w:rsid w:val="35E6061B"/>
    <w:rsid w:val="35EA1EB9"/>
    <w:rsid w:val="35EB0285"/>
    <w:rsid w:val="35EC7C60"/>
    <w:rsid w:val="35ED7BFB"/>
    <w:rsid w:val="35F02246"/>
    <w:rsid w:val="35F03248"/>
    <w:rsid w:val="35F1149A"/>
    <w:rsid w:val="35F25B12"/>
    <w:rsid w:val="35F40F8A"/>
    <w:rsid w:val="35F745D6"/>
    <w:rsid w:val="35F76384"/>
    <w:rsid w:val="35FA5E74"/>
    <w:rsid w:val="35FC7E3E"/>
    <w:rsid w:val="35FF348B"/>
    <w:rsid w:val="3600792F"/>
    <w:rsid w:val="36015455"/>
    <w:rsid w:val="3608233F"/>
    <w:rsid w:val="360A60B7"/>
    <w:rsid w:val="360B1E2F"/>
    <w:rsid w:val="360B765A"/>
    <w:rsid w:val="360C1F8B"/>
    <w:rsid w:val="360D3DFA"/>
    <w:rsid w:val="361231BE"/>
    <w:rsid w:val="36154A5C"/>
    <w:rsid w:val="3619553C"/>
    <w:rsid w:val="361A4768"/>
    <w:rsid w:val="361B02C4"/>
    <w:rsid w:val="361C228F"/>
    <w:rsid w:val="361C403D"/>
    <w:rsid w:val="361C5DEB"/>
    <w:rsid w:val="36201D7F"/>
    <w:rsid w:val="362058DB"/>
    <w:rsid w:val="36227B44"/>
    <w:rsid w:val="3627310D"/>
    <w:rsid w:val="36274EBB"/>
    <w:rsid w:val="362A0508"/>
    <w:rsid w:val="362A675A"/>
    <w:rsid w:val="362B4280"/>
    <w:rsid w:val="362C0724"/>
    <w:rsid w:val="362D24BD"/>
    <w:rsid w:val="362D7FF8"/>
    <w:rsid w:val="362F3D70"/>
    <w:rsid w:val="36323860"/>
    <w:rsid w:val="36341386"/>
    <w:rsid w:val="36363350"/>
    <w:rsid w:val="363671DC"/>
    <w:rsid w:val="36394BEF"/>
    <w:rsid w:val="3639699D"/>
    <w:rsid w:val="363C648D"/>
    <w:rsid w:val="36405F7D"/>
    <w:rsid w:val="3641098E"/>
    <w:rsid w:val="36430014"/>
    <w:rsid w:val="36455341"/>
    <w:rsid w:val="364777EF"/>
    <w:rsid w:val="36484E32"/>
    <w:rsid w:val="36486BE0"/>
    <w:rsid w:val="364A0BAA"/>
    <w:rsid w:val="364D069A"/>
    <w:rsid w:val="364F61C0"/>
    <w:rsid w:val="364F7F6E"/>
    <w:rsid w:val="3650458C"/>
    <w:rsid w:val="36525CB0"/>
    <w:rsid w:val="36555259"/>
    <w:rsid w:val="3659703F"/>
    <w:rsid w:val="365B39B9"/>
    <w:rsid w:val="365D08DD"/>
    <w:rsid w:val="3660217B"/>
    <w:rsid w:val="36603F29"/>
    <w:rsid w:val="36637EBD"/>
    <w:rsid w:val="366A7AFE"/>
    <w:rsid w:val="366B28CE"/>
    <w:rsid w:val="366D4898"/>
    <w:rsid w:val="366D6646"/>
    <w:rsid w:val="366F0610"/>
    <w:rsid w:val="366F23BE"/>
    <w:rsid w:val="366F6336"/>
    <w:rsid w:val="36714388"/>
    <w:rsid w:val="36721EAF"/>
    <w:rsid w:val="36743E79"/>
    <w:rsid w:val="36745C27"/>
    <w:rsid w:val="3674681F"/>
    <w:rsid w:val="3676374D"/>
    <w:rsid w:val="36767BF1"/>
    <w:rsid w:val="36771BA1"/>
    <w:rsid w:val="36785717"/>
    <w:rsid w:val="367D2D2D"/>
    <w:rsid w:val="367E2601"/>
    <w:rsid w:val="36820344"/>
    <w:rsid w:val="368340BC"/>
    <w:rsid w:val="3684230E"/>
    <w:rsid w:val="36853990"/>
    <w:rsid w:val="36857E34"/>
    <w:rsid w:val="36876F7E"/>
    <w:rsid w:val="368A544A"/>
    <w:rsid w:val="368C11C2"/>
    <w:rsid w:val="368C2F70"/>
    <w:rsid w:val="368C4D1E"/>
    <w:rsid w:val="368F0CB2"/>
    <w:rsid w:val="36910587"/>
    <w:rsid w:val="369260AD"/>
    <w:rsid w:val="369342FF"/>
    <w:rsid w:val="369473F8"/>
    <w:rsid w:val="36965B9D"/>
    <w:rsid w:val="3697337F"/>
    <w:rsid w:val="36987B67"/>
    <w:rsid w:val="3699519F"/>
    <w:rsid w:val="3699568D"/>
    <w:rsid w:val="369D33CF"/>
    <w:rsid w:val="369E0BFD"/>
    <w:rsid w:val="369E0EF6"/>
    <w:rsid w:val="369F6096"/>
    <w:rsid w:val="36A007CA"/>
    <w:rsid w:val="36A54032"/>
    <w:rsid w:val="36A63BA7"/>
    <w:rsid w:val="36A71B58"/>
    <w:rsid w:val="36AA33F6"/>
    <w:rsid w:val="36AA5AEC"/>
    <w:rsid w:val="36AC3612"/>
    <w:rsid w:val="36AE2AD7"/>
    <w:rsid w:val="36AF6C5F"/>
    <w:rsid w:val="36B349A1"/>
    <w:rsid w:val="36B424C7"/>
    <w:rsid w:val="36B44A6A"/>
    <w:rsid w:val="36B6623F"/>
    <w:rsid w:val="36B83D65"/>
    <w:rsid w:val="36BA65F9"/>
    <w:rsid w:val="36BB20FF"/>
    <w:rsid w:val="36BB5604"/>
    <w:rsid w:val="36BC13F6"/>
    <w:rsid w:val="36BE50F4"/>
    <w:rsid w:val="36BF3346"/>
    <w:rsid w:val="36C02C1A"/>
    <w:rsid w:val="36C24BE4"/>
    <w:rsid w:val="36C46BAE"/>
    <w:rsid w:val="36C546D4"/>
    <w:rsid w:val="36C73FA8"/>
    <w:rsid w:val="36C84394"/>
    <w:rsid w:val="36CA3A99"/>
    <w:rsid w:val="36CE17DB"/>
    <w:rsid w:val="36CE3589"/>
    <w:rsid w:val="36CF10AF"/>
    <w:rsid w:val="36CF7301"/>
    <w:rsid w:val="36D14E27"/>
    <w:rsid w:val="36D16BD5"/>
    <w:rsid w:val="36D44917"/>
    <w:rsid w:val="36D952F5"/>
    <w:rsid w:val="36DA1DD6"/>
    <w:rsid w:val="36DA1F2E"/>
    <w:rsid w:val="36DB3EF8"/>
    <w:rsid w:val="36DD557A"/>
    <w:rsid w:val="36E0506A"/>
    <w:rsid w:val="36E13A87"/>
    <w:rsid w:val="36E25286"/>
    <w:rsid w:val="36E36908"/>
    <w:rsid w:val="36E508D2"/>
    <w:rsid w:val="36E52680"/>
    <w:rsid w:val="36E556BA"/>
    <w:rsid w:val="36E763F9"/>
    <w:rsid w:val="36EC1C61"/>
    <w:rsid w:val="36EC3A0F"/>
    <w:rsid w:val="36EE7787"/>
    <w:rsid w:val="36EF35A7"/>
    <w:rsid w:val="36F01751"/>
    <w:rsid w:val="36F11025"/>
    <w:rsid w:val="36F31241"/>
    <w:rsid w:val="36F33C0B"/>
    <w:rsid w:val="36F54FB9"/>
    <w:rsid w:val="36F6663C"/>
    <w:rsid w:val="36F80606"/>
    <w:rsid w:val="36F823B4"/>
    <w:rsid w:val="36FA13B3"/>
    <w:rsid w:val="36FD79CA"/>
    <w:rsid w:val="36FF7BE6"/>
    <w:rsid w:val="3700570C"/>
    <w:rsid w:val="370300D4"/>
    <w:rsid w:val="37046FAB"/>
    <w:rsid w:val="37052E82"/>
    <w:rsid w:val="37054AD1"/>
    <w:rsid w:val="370C2303"/>
    <w:rsid w:val="370C5E5F"/>
    <w:rsid w:val="370E7B58"/>
    <w:rsid w:val="370F76FD"/>
    <w:rsid w:val="37103BA1"/>
    <w:rsid w:val="37113475"/>
    <w:rsid w:val="37135440"/>
    <w:rsid w:val="37147DA6"/>
    <w:rsid w:val="37151B83"/>
    <w:rsid w:val="37164F30"/>
    <w:rsid w:val="371A4A20"/>
    <w:rsid w:val="371B60A2"/>
    <w:rsid w:val="371B7C79"/>
    <w:rsid w:val="371D62BE"/>
    <w:rsid w:val="371F5B92"/>
    <w:rsid w:val="372238D5"/>
    <w:rsid w:val="372431A9"/>
    <w:rsid w:val="37265173"/>
    <w:rsid w:val="3727713D"/>
    <w:rsid w:val="37294C63"/>
    <w:rsid w:val="372B09DB"/>
    <w:rsid w:val="372C02AF"/>
    <w:rsid w:val="372E4027"/>
    <w:rsid w:val="372E5DD5"/>
    <w:rsid w:val="373054F6"/>
    <w:rsid w:val="37307DA0"/>
    <w:rsid w:val="373158C6"/>
    <w:rsid w:val="37321D6A"/>
    <w:rsid w:val="37324A70"/>
    <w:rsid w:val="37337890"/>
    <w:rsid w:val="373553B6"/>
    <w:rsid w:val="37362AE8"/>
    <w:rsid w:val="37381826"/>
    <w:rsid w:val="37384EA6"/>
    <w:rsid w:val="373D070E"/>
    <w:rsid w:val="373F7FE3"/>
    <w:rsid w:val="374024B5"/>
    <w:rsid w:val="374047CB"/>
    <w:rsid w:val="37425D25"/>
    <w:rsid w:val="37490E61"/>
    <w:rsid w:val="37492C0F"/>
    <w:rsid w:val="374B2E2B"/>
    <w:rsid w:val="374C0952"/>
    <w:rsid w:val="374C50B7"/>
    <w:rsid w:val="37500442"/>
    <w:rsid w:val="37503F9E"/>
    <w:rsid w:val="375241BA"/>
    <w:rsid w:val="37531CE0"/>
    <w:rsid w:val="37537F32"/>
    <w:rsid w:val="3757357E"/>
    <w:rsid w:val="37575E0D"/>
    <w:rsid w:val="375810A4"/>
    <w:rsid w:val="375869AC"/>
    <w:rsid w:val="37587B5C"/>
    <w:rsid w:val="375C0B95"/>
    <w:rsid w:val="375C6DE7"/>
    <w:rsid w:val="375D2B5F"/>
    <w:rsid w:val="375E25FC"/>
    <w:rsid w:val="375F0685"/>
    <w:rsid w:val="376143FD"/>
    <w:rsid w:val="37623CD1"/>
    <w:rsid w:val="37644E97"/>
    <w:rsid w:val="37667C65"/>
    <w:rsid w:val="37677539"/>
    <w:rsid w:val="3768578B"/>
    <w:rsid w:val="376932B2"/>
    <w:rsid w:val="376C34BF"/>
    <w:rsid w:val="376D0FF4"/>
    <w:rsid w:val="376E08C8"/>
    <w:rsid w:val="376E2676"/>
    <w:rsid w:val="37736E97"/>
    <w:rsid w:val="37737C8C"/>
    <w:rsid w:val="3774310E"/>
    <w:rsid w:val="377743D1"/>
    <w:rsid w:val="37781747"/>
    <w:rsid w:val="377C1237"/>
    <w:rsid w:val="377C4D93"/>
    <w:rsid w:val="377F0D27"/>
    <w:rsid w:val="377F2AD5"/>
    <w:rsid w:val="3781684D"/>
    <w:rsid w:val="37826121"/>
    <w:rsid w:val="37841E99"/>
    <w:rsid w:val="37861808"/>
    <w:rsid w:val="37863E63"/>
    <w:rsid w:val="37865C12"/>
    <w:rsid w:val="37873738"/>
    <w:rsid w:val="37895702"/>
    <w:rsid w:val="378E4AC6"/>
    <w:rsid w:val="378F705B"/>
    <w:rsid w:val="3791691B"/>
    <w:rsid w:val="37922808"/>
    <w:rsid w:val="37931B73"/>
    <w:rsid w:val="379344BE"/>
    <w:rsid w:val="379522F8"/>
    <w:rsid w:val="379540A7"/>
    <w:rsid w:val="37955E55"/>
    <w:rsid w:val="37971BCD"/>
    <w:rsid w:val="37975AFC"/>
    <w:rsid w:val="37983B97"/>
    <w:rsid w:val="379A790F"/>
    <w:rsid w:val="379E11AD"/>
    <w:rsid w:val="379E73FF"/>
    <w:rsid w:val="379F6CD3"/>
    <w:rsid w:val="37A10C9D"/>
    <w:rsid w:val="37A147F9"/>
    <w:rsid w:val="37A367C3"/>
    <w:rsid w:val="37A66221"/>
    <w:rsid w:val="37A72AD7"/>
    <w:rsid w:val="37A776B1"/>
    <w:rsid w:val="37A8202C"/>
    <w:rsid w:val="37A91900"/>
    <w:rsid w:val="37AB5678"/>
    <w:rsid w:val="37AC319E"/>
    <w:rsid w:val="37AE6F16"/>
    <w:rsid w:val="37B26A07"/>
    <w:rsid w:val="37B502A5"/>
    <w:rsid w:val="37B7226F"/>
    <w:rsid w:val="37B7401D"/>
    <w:rsid w:val="37BA3B0D"/>
    <w:rsid w:val="37BA5B27"/>
    <w:rsid w:val="37BC5AD7"/>
    <w:rsid w:val="37BD53AB"/>
    <w:rsid w:val="37BE184F"/>
    <w:rsid w:val="37BE35FD"/>
    <w:rsid w:val="37BE5938"/>
    <w:rsid w:val="37BF2ED1"/>
    <w:rsid w:val="37C02A6A"/>
    <w:rsid w:val="37C33DE3"/>
    <w:rsid w:val="37C36E66"/>
    <w:rsid w:val="37C8622A"/>
    <w:rsid w:val="37C93D50"/>
    <w:rsid w:val="37CA01F4"/>
    <w:rsid w:val="37CB5D1A"/>
    <w:rsid w:val="37CE1367"/>
    <w:rsid w:val="37D050DF"/>
    <w:rsid w:val="37D20E57"/>
    <w:rsid w:val="37D50947"/>
    <w:rsid w:val="37D526F5"/>
    <w:rsid w:val="37D56B99"/>
    <w:rsid w:val="37D73397"/>
    <w:rsid w:val="37D7646D"/>
    <w:rsid w:val="37D83F93"/>
    <w:rsid w:val="37D921E5"/>
    <w:rsid w:val="37DC1CD5"/>
    <w:rsid w:val="37DE4F22"/>
    <w:rsid w:val="37E62B54"/>
    <w:rsid w:val="37E868CC"/>
    <w:rsid w:val="37ED5C91"/>
    <w:rsid w:val="37F05781"/>
    <w:rsid w:val="37F232A7"/>
    <w:rsid w:val="37F30DCD"/>
    <w:rsid w:val="37F54B45"/>
    <w:rsid w:val="37F7266B"/>
    <w:rsid w:val="37F92887"/>
    <w:rsid w:val="37FE01FA"/>
    <w:rsid w:val="37FE39FA"/>
    <w:rsid w:val="380134EA"/>
    <w:rsid w:val="38037262"/>
    <w:rsid w:val="38044D88"/>
    <w:rsid w:val="380500CD"/>
    <w:rsid w:val="380556F6"/>
    <w:rsid w:val="38080D1C"/>
    <w:rsid w:val="380A05F1"/>
    <w:rsid w:val="380B4369"/>
    <w:rsid w:val="380F5C07"/>
    <w:rsid w:val="3810197F"/>
    <w:rsid w:val="381226D1"/>
    <w:rsid w:val="38190834"/>
    <w:rsid w:val="381A45AC"/>
    <w:rsid w:val="381E409C"/>
    <w:rsid w:val="381E5E4A"/>
    <w:rsid w:val="38233460"/>
    <w:rsid w:val="3825542A"/>
    <w:rsid w:val="3828316D"/>
    <w:rsid w:val="38286CC9"/>
    <w:rsid w:val="382A2A41"/>
    <w:rsid w:val="382B67B9"/>
    <w:rsid w:val="382C4766"/>
    <w:rsid w:val="382F0057"/>
    <w:rsid w:val="383218F5"/>
    <w:rsid w:val="3833057A"/>
    <w:rsid w:val="38351CF6"/>
    <w:rsid w:val="38353194"/>
    <w:rsid w:val="38390ED6"/>
    <w:rsid w:val="383B49F8"/>
    <w:rsid w:val="383B4C4E"/>
    <w:rsid w:val="383C09C6"/>
    <w:rsid w:val="383C77C2"/>
    <w:rsid w:val="383E64EC"/>
    <w:rsid w:val="383F6BEC"/>
    <w:rsid w:val="38404012"/>
    <w:rsid w:val="38415FDC"/>
    <w:rsid w:val="3842422E"/>
    <w:rsid w:val="38453E1F"/>
    <w:rsid w:val="38465CC1"/>
    <w:rsid w:val="38477E80"/>
    <w:rsid w:val="38486DD2"/>
    <w:rsid w:val="38492DB1"/>
    <w:rsid w:val="384C6E5B"/>
    <w:rsid w:val="384D672F"/>
    <w:rsid w:val="384F11E3"/>
    <w:rsid w:val="384F24A7"/>
    <w:rsid w:val="385201EA"/>
    <w:rsid w:val="38523D46"/>
    <w:rsid w:val="38547ABE"/>
    <w:rsid w:val="38561A88"/>
    <w:rsid w:val="3857135C"/>
    <w:rsid w:val="385775AE"/>
    <w:rsid w:val="38591578"/>
    <w:rsid w:val="385A62F6"/>
    <w:rsid w:val="385B0683"/>
    <w:rsid w:val="385B709E"/>
    <w:rsid w:val="38601122"/>
    <w:rsid w:val="38602168"/>
    <w:rsid w:val="3862042D"/>
    <w:rsid w:val="38635F53"/>
    <w:rsid w:val="38637D01"/>
    <w:rsid w:val="3864141A"/>
    <w:rsid w:val="38651CCB"/>
    <w:rsid w:val="38653A79"/>
    <w:rsid w:val="38664899"/>
    <w:rsid w:val="386677F1"/>
    <w:rsid w:val="386817BB"/>
    <w:rsid w:val="386A108F"/>
    <w:rsid w:val="386B4E07"/>
    <w:rsid w:val="386C070B"/>
    <w:rsid w:val="386D0B7F"/>
    <w:rsid w:val="386D476C"/>
    <w:rsid w:val="386D6DD1"/>
    <w:rsid w:val="386F66A6"/>
    <w:rsid w:val="3870241E"/>
    <w:rsid w:val="387168C2"/>
    <w:rsid w:val="38726196"/>
    <w:rsid w:val="38743CBC"/>
    <w:rsid w:val="38762532"/>
    <w:rsid w:val="38765C86"/>
    <w:rsid w:val="387A583E"/>
    <w:rsid w:val="387B329C"/>
    <w:rsid w:val="387B504A"/>
    <w:rsid w:val="387E0FDF"/>
    <w:rsid w:val="387E4B3B"/>
    <w:rsid w:val="387E56F1"/>
    <w:rsid w:val="388114A1"/>
    <w:rsid w:val="3882287D"/>
    <w:rsid w:val="388303A3"/>
    <w:rsid w:val="38847E22"/>
    <w:rsid w:val="38881374"/>
    <w:rsid w:val="388859B9"/>
    <w:rsid w:val="388A1731"/>
    <w:rsid w:val="388C671A"/>
    <w:rsid w:val="388D4D7E"/>
    <w:rsid w:val="388F6D48"/>
    <w:rsid w:val="38912AC0"/>
    <w:rsid w:val="389160B5"/>
    <w:rsid w:val="389205E6"/>
    <w:rsid w:val="38944D46"/>
    <w:rsid w:val="38962237"/>
    <w:rsid w:val="389B393F"/>
    <w:rsid w:val="389B56ED"/>
    <w:rsid w:val="389D1465"/>
    <w:rsid w:val="389D610E"/>
    <w:rsid w:val="389E342F"/>
    <w:rsid w:val="38A05EBA"/>
    <w:rsid w:val="38A071A7"/>
    <w:rsid w:val="38A50319"/>
    <w:rsid w:val="38A6346D"/>
    <w:rsid w:val="38A6778B"/>
    <w:rsid w:val="38A722E3"/>
    <w:rsid w:val="38A8464C"/>
    <w:rsid w:val="38AA6EBD"/>
    <w:rsid w:val="38AD71CE"/>
    <w:rsid w:val="38AE2387"/>
    <w:rsid w:val="38AE3672"/>
    <w:rsid w:val="38B247E4"/>
    <w:rsid w:val="38B36EDA"/>
    <w:rsid w:val="38B4055C"/>
    <w:rsid w:val="38B44A00"/>
    <w:rsid w:val="38B7004D"/>
    <w:rsid w:val="38B93DC5"/>
    <w:rsid w:val="38BB18EB"/>
    <w:rsid w:val="38BB416C"/>
    <w:rsid w:val="38BB7B3D"/>
    <w:rsid w:val="38BD38B5"/>
    <w:rsid w:val="38BD7007"/>
    <w:rsid w:val="38C06F01"/>
    <w:rsid w:val="38C20ECB"/>
    <w:rsid w:val="38C22C79"/>
    <w:rsid w:val="38C2712E"/>
    <w:rsid w:val="38C31508"/>
    <w:rsid w:val="38C5230C"/>
    <w:rsid w:val="38C61C36"/>
    <w:rsid w:val="38C74734"/>
    <w:rsid w:val="38C84008"/>
    <w:rsid w:val="38C97B41"/>
    <w:rsid w:val="38CA7D80"/>
    <w:rsid w:val="38CC1D4A"/>
    <w:rsid w:val="38CF35E8"/>
    <w:rsid w:val="38D34E55"/>
    <w:rsid w:val="38D62BC9"/>
    <w:rsid w:val="38D64977"/>
    <w:rsid w:val="38D806EF"/>
    <w:rsid w:val="38DB2257"/>
    <w:rsid w:val="38DD4678"/>
    <w:rsid w:val="38DD5D05"/>
    <w:rsid w:val="38DD7AB3"/>
    <w:rsid w:val="38DE55D9"/>
    <w:rsid w:val="38DF7CCF"/>
    <w:rsid w:val="38E01351"/>
    <w:rsid w:val="38E0213B"/>
    <w:rsid w:val="38E2156D"/>
    <w:rsid w:val="38E350E4"/>
    <w:rsid w:val="38E452E6"/>
    <w:rsid w:val="38E5105E"/>
    <w:rsid w:val="38E52E0C"/>
    <w:rsid w:val="38E74176"/>
    <w:rsid w:val="38E928FC"/>
    <w:rsid w:val="38EC419A"/>
    <w:rsid w:val="38ED2D35"/>
    <w:rsid w:val="38ED3A6E"/>
    <w:rsid w:val="38ED7091"/>
    <w:rsid w:val="38EE1CC0"/>
    <w:rsid w:val="38F31085"/>
    <w:rsid w:val="38F372D7"/>
    <w:rsid w:val="38F45B4D"/>
    <w:rsid w:val="38F55F20"/>
    <w:rsid w:val="38F60B75"/>
    <w:rsid w:val="38F95903"/>
    <w:rsid w:val="38FB43DD"/>
    <w:rsid w:val="38FE7E8D"/>
    <w:rsid w:val="390028DD"/>
    <w:rsid w:val="390034D4"/>
    <w:rsid w:val="39047736"/>
    <w:rsid w:val="39072D1B"/>
    <w:rsid w:val="39072D82"/>
    <w:rsid w:val="3908412D"/>
    <w:rsid w:val="390908A8"/>
    <w:rsid w:val="390A4620"/>
    <w:rsid w:val="390A63CE"/>
    <w:rsid w:val="390C0398"/>
    <w:rsid w:val="390C0ED9"/>
    <w:rsid w:val="390C65EA"/>
    <w:rsid w:val="39104D22"/>
    <w:rsid w:val="39111E53"/>
    <w:rsid w:val="39113C01"/>
    <w:rsid w:val="39131727"/>
    <w:rsid w:val="39161217"/>
    <w:rsid w:val="39164B5C"/>
    <w:rsid w:val="39194C1E"/>
    <w:rsid w:val="391D4354"/>
    <w:rsid w:val="39203E44"/>
    <w:rsid w:val="39205BF2"/>
    <w:rsid w:val="39213EF7"/>
    <w:rsid w:val="392207EA"/>
    <w:rsid w:val="3922196A"/>
    <w:rsid w:val="392259E5"/>
    <w:rsid w:val="39227BBC"/>
    <w:rsid w:val="39257015"/>
    <w:rsid w:val="392576AC"/>
    <w:rsid w:val="392A2FD2"/>
    <w:rsid w:val="392E030F"/>
    <w:rsid w:val="392F4087"/>
    <w:rsid w:val="393755D6"/>
    <w:rsid w:val="39386A66"/>
    <w:rsid w:val="393B2A2C"/>
    <w:rsid w:val="393F42CA"/>
    <w:rsid w:val="393F47DD"/>
    <w:rsid w:val="39400042"/>
    <w:rsid w:val="39406294"/>
    <w:rsid w:val="3942200C"/>
    <w:rsid w:val="39433B79"/>
    <w:rsid w:val="39445D84"/>
    <w:rsid w:val="39447B32"/>
    <w:rsid w:val="394538AA"/>
    <w:rsid w:val="394D6F17"/>
    <w:rsid w:val="3951224F"/>
    <w:rsid w:val="39537D75"/>
    <w:rsid w:val="39553AED"/>
    <w:rsid w:val="395625B8"/>
    <w:rsid w:val="395835DE"/>
    <w:rsid w:val="3958538C"/>
    <w:rsid w:val="39586050"/>
    <w:rsid w:val="395A1104"/>
    <w:rsid w:val="395F496C"/>
    <w:rsid w:val="395F671A"/>
    <w:rsid w:val="396054F7"/>
    <w:rsid w:val="39616936"/>
    <w:rsid w:val="396226AE"/>
    <w:rsid w:val="3962620A"/>
    <w:rsid w:val="39627FB8"/>
    <w:rsid w:val="3963760F"/>
    <w:rsid w:val="39643D30"/>
    <w:rsid w:val="396445F3"/>
    <w:rsid w:val="39663F4D"/>
    <w:rsid w:val="39665CFB"/>
    <w:rsid w:val="39697599"/>
    <w:rsid w:val="396C5956"/>
    <w:rsid w:val="396C7089"/>
    <w:rsid w:val="39706B79"/>
    <w:rsid w:val="397119C0"/>
    <w:rsid w:val="39730417"/>
    <w:rsid w:val="39743AD8"/>
    <w:rsid w:val="39754190"/>
    <w:rsid w:val="39761CB6"/>
    <w:rsid w:val="39783EF9"/>
    <w:rsid w:val="397C544B"/>
    <w:rsid w:val="397C551E"/>
    <w:rsid w:val="39822409"/>
    <w:rsid w:val="398268AC"/>
    <w:rsid w:val="398443D3"/>
    <w:rsid w:val="39877989"/>
    <w:rsid w:val="39882115"/>
    <w:rsid w:val="398919E9"/>
    <w:rsid w:val="39897C3B"/>
    <w:rsid w:val="398C3287"/>
    <w:rsid w:val="398E34A3"/>
    <w:rsid w:val="398E6E86"/>
    <w:rsid w:val="3991089E"/>
    <w:rsid w:val="39913610"/>
    <w:rsid w:val="39924D42"/>
    <w:rsid w:val="3995038E"/>
    <w:rsid w:val="3995213C"/>
    <w:rsid w:val="39962E51"/>
    <w:rsid w:val="39974106"/>
    <w:rsid w:val="39986745"/>
    <w:rsid w:val="39987E7E"/>
    <w:rsid w:val="399A59A4"/>
    <w:rsid w:val="399C171C"/>
    <w:rsid w:val="399D36E6"/>
    <w:rsid w:val="399E27B0"/>
    <w:rsid w:val="39A16D33"/>
    <w:rsid w:val="39A22AAB"/>
    <w:rsid w:val="39A44A75"/>
    <w:rsid w:val="39A607ED"/>
    <w:rsid w:val="39A6259B"/>
    <w:rsid w:val="39A82234"/>
    <w:rsid w:val="39AA58F8"/>
    <w:rsid w:val="39AD0211"/>
    <w:rsid w:val="39AE31FE"/>
    <w:rsid w:val="39B06F76"/>
    <w:rsid w:val="39B32F0A"/>
    <w:rsid w:val="39B36A66"/>
    <w:rsid w:val="39B50A30"/>
    <w:rsid w:val="39B527DE"/>
    <w:rsid w:val="39B822CE"/>
    <w:rsid w:val="39BA7DF4"/>
    <w:rsid w:val="39BB687D"/>
    <w:rsid w:val="39BE5B37"/>
    <w:rsid w:val="39BF365D"/>
    <w:rsid w:val="39C173D5"/>
    <w:rsid w:val="39C20644"/>
    <w:rsid w:val="39C25737"/>
    <w:rsid w:val="39C649EB"/>
    <w:rsid w:val="39C66799"/>
    <w:rsid w:val="39C72511"/>
    <w:rsid w:val="39C742BF"/>
    <w:rsid w:val="39C80763"/>
    <w:rsid w:val="39C80E81"/>
    <w:rsid w:val="39CD7B28"/>
    <w:rsid w:val="39CE4CF3"/>
    <w:rsid w:val="39D0586A"/>
    <w:rsid w:val="39D07618"/>
    <w:rsid w:val="39D10AA3"/>
    <w:rsid w:val="39D4535A"/>
    <w:rsid w:val="39D47874"/>
    <w:rsid w:val="39D569DC"/>
    <w:rsid w:val="39D67A85"/>
    <w:rsid w:val="39D771DD"/>
    <w:rsid w:val="39D8471E"/>
    <w:rsid w:val="39D864CC"/>
    <w:rsid w:val="39D87235"/>
    <w:rsid w:val="39DF3CFF"/>
    <w:rsid w:val="39E11A28"/>
    <w:rsid w:val="39E135D3"/>
    <w:rsid w:val="39E41315"/>
    <w:rsid w:val="39E60BE9"/>
    <w:rsid w:val="39E66E3B"/>
    <w:rsid w:val="39E7174C"/>
    <w:rsid w:val="39E75002"/>
    <w:rsid w:val="39E80794"/>
    <w:rsid w:val="39E8242A"/>
    <w:rsid w:val="39E82BB3"/>
    <w:rsid w:val="39E92488"/>
    <w:rsid w:val="39ED1F78"/>
    <w:rsid w:val="39F054BC"/>
    <w:rsid w:val="39F350B4"/>
    <w:rsid w:val="39F3557E"/>
    <w:rsid w:val="39F5707E"/>
    <w:rsid w:val="39F71049"/>
    <w:rsid w:val="39F74BA5"/>
    <w:rsid w:val="39F8091D"/>
    <w:rsid w:val="39FC040D"/>
    <w:rsid w:val="39FC21BB"/>
    <w:rsid w:val="3A013C75"/>
    <w:rsid w:val="3A015A23"/>
    <w:rsid w:val="3A0177D1"/>
    <w:rsid w:val="3A0379ED"/>
    <w:rsid w:val="3A045513"/>
    <w:rsid w:val="3A053765"/>
    <w:rsid w:val="3A064DE8"/>
    <w:rsid w:val="3A076471"/>
    <w:rsid w:val="3A080B60"/>
    <w:rsid w:val="3A085004"/>
    <w:rsid w:val="3A086DB2"/>
    <w:rsid w:val="3A0977A4"/>
    <w:rsid w:val="3A0B4AF4"/>
    <w:rsid w:val="3A0D6176"/>
    <w:rsid w:val="3A0F6DD0"/>
    <w:rsid w:val="3A1439A9"/>
    <w:rsid w:val="3A144893"/>
    <w:rsid w:val="3A14701E"/>
    <w:rsid w:val="3A176FF5"/>
    <w:rsid w:val="3A1A0893"/>
    <w:rsid w:val="3A1C460B"/>
    <w:rsid w:val="3A2133F1"/>
    <w:rsid w:val="3A2160C5"/>
    <w:rsid w:val="3A241712"/>
    <w:rsid w:val="3A25583C"/>
    <w:rsid w:val="3A26548A"/>
    <w:rsid w:val="3A271832"/>
    <w:rsid w:val="3A281202"/>
    <w:rsid w:val="3A29564D"/>
    <w:rsid w:val="3A296D28"/>
    <w:rsid w:val="3A2B2AA0"/>
    <w:rsid w:val="3A2D43ED"/>
    <w:rsid w:val="3A2E002F"/>
    <w:rsid w:val="3A322081"/>
    <w:rsid w:val="3A325BDD"/>
    <w:rsid w:val="3A351B95"/>
    <w:rsid w:val="3A35391F"/>
    <w:rsid w:val="3A371445"/>
    <w:rsid w:val="3A39340F"/>
    <w:rsid w:val="3A3A0F35"/>
    <w:rsid w:val="3A3C4CAD"/>
    <w:rsid w:val="3A3E0A25"/>
    <w:rsid w:val="3A3F02FA"/>
    <w:rsid w:val="3A3F654C"/>
    <w:rsid w:val="3A414072"/>
    <w:rsid w:val="3A4678DA"/>
    <w:rsid w:val="3A494C37"/>
    <w:rsid w:val="3A4A561C"/>
    <w:rsid w:val="3A4B7556"/>
    <w:rsid w:val="3A4D0C68"/>
    <w:rsid w:val="3A4E0A72"/>
    <w:rsid w:val="3A4E0C27"/>
    <w:rsid w:val="3A4F49E1"/>
    <w:rsid w:val="3A4F5E72"/>
    <w:rsid w:val="3A4F75EF"/>
    <w:rsid w:val="3A500759"/>
    <w:rsid w:val="3A502507"/>
    <w:rsid w:val="3A513637"/>
    <w:rsid w:val="3A540249"/>
    <w:rsid w:val="3A541FF7"/>
    <w:rsid w:val="3A563FC1"/>
    <w:rsid w:val="3A573895"/>
    <w:rsid w:val="3A5D24A2"/>
    <w:rsid w:val="3A5D453C"/>
    <w:rsid w:val="3A5F274A"/>
    <w:rsid w:val="3A63048C"/>
    <w:rsid w:val="3A63223A"/>
    <w:rsid w:val="3A647D60"/>
    <w:rsid w:val="3A661D2A"/>
    <w:rsid w:val="3A66415E"/>
    <w:rsid w:val="3A683CF4"/>
    <w:rsid w:val="3A6A35C8"/>
    <w:rsid w:val="3A6B10EF"/>
    <w:rsid w:val="3A6D30B9"/>
    <w:rsid w:val="3A704957"/>
    <w:rsid w:val="3A742699"/>
    <w:rsid w:val="3A766411"/>
    <w:rsid w:val="3A79380C"/>
    <w:rsid w:val="3A797A03"/>
    <w:rsid w:val="3A7B3A28"/>
    <w:rsid w:val="3A7D77A0"/>
    <w:rsid w:val="3A7E52C6"/>
    <w:rsid w:val="3A802DEC"/>
    <w:rsid w:val="3A816B64"/>
    <w:rsid w:val="3A836438"/>
    <w:rsid w:val="3A852336"/>
    <w:rsid w:val="3A881CA1"/>
    <w:rsid w:val="3A886068"/>
    <w:rsid w:val="3A887EF3"/>
    <w:rsid w:val="3A8918CE"/>
    <w:rsid w:val="3A8B0C83"/>
    <w:rsid w:val="3A8B1791"/>
    <w:rsid w:val="3A8D375B"/>
    <w:rsid w:val="3A8F74D3"/>
    <w:rsid w:val="3A912C13"/>
    <w:rsid w:val="3A93317B"/>
    <w:rsid w:val="3A946897"/>
    <w:rsid w:val="3A95066C"/>
    <w:rsid w:val="3A960861"/>
    <w:rsid w:val="3A96260F"/>
    <w:rsid w:val="3A9643BE"/>
    <w:rsid w:val="3A992100"/>
    <w:rsid w:val="3A993EAE"/>
    <w:rsid w:val="3A9C574C"/>
    <w:rsid w:val="3A9E7716"/>
    <w:rsid w:val="3AA0348E"/>
    <w:rsid w:val="3AA0523C"/>
    <w:rsid w:val="3AA34D2C"/>
    <w:rsid w:val="3AA75652"/>
    <w:rsid w:val="3AA765CB"/>
    <w:rsid w:val="3AA80595"/>
    <w:rsid w:val="3AAA60BB"/>
    <w:rsid w:val="3AAB598F"/>
    <w:rsid w:val="3AAC3BE1"/>
    <w:rsid w:val="3AAD6784"/>
    <w:rsid w:val="3AAD68F3"/>
    <w:rsid w:val="3AB02FA5"/>
    <w:rsid w:val="3AB042CB"/>
    <w:rsid w:val="3AB16704"/>
    <w:rsid w:val="3AB17449"/>
    <w:rsid w:val="3AB27B94"/>
    <w:rsid w:val="3AB57C56"/>
    <w:rsid w:val="3AB605BC"/>
    <w:rsid w:val="3AB64A60"/>
    <w:rsid w:val="3AB74334"/>
    <w:rsid w:val="3ABA038B"/>
    <w:rsid w:val="3ABA2E2B"/>
    <w:rsid w:val="3AC04D69"/>
    <w:rsid w:val="3AC151B3"/>
    <w:rsid w:val="3AC23405"/>
    <w:rsid w:val="3AC234D7"/>
    <w:rsid w:val="3AC30B19"/>
    <w:rsid w:val="3AC32575"/>
    <w:rsid w:val="3AC52EF5"/>
    <w:rsid w:val="3AC54CA3"/>
    <w:rsid w:val="3AC76C6D"/>
    <w:rsid w:val="3AC773A0"/>
    <w:rsid w:val="3AC86541"/>
    <w:rsid w:val="3ACC4283"/>
    <w:rsid w:val="3ACC4E51"/>
    <w:rsid w:val="3ACE7FFB"/>
    <w:rsid w:val="3ACF167E"/>
    <w:rsid w:val="3ACF5B21"/>
    <w:rsid w:val="3AD13648"/>
    <w:rsid w:val="3AD273C0"/>
    <w:rsid w:val="3AD41A9E"/>
    <w:rsid w:val="3AD44EE6"/>
    <w:rsid w:val="3AD849D6"/>
    <w:rsid w:val="3AD9074E"/>
    <w:rsid w:val="3ADB0022"/>
    <w:rsid w:val="3ADB2718"/>
    <w:rsid w:val="3ADB6274"/>
    <w:rsid w:val="3ADC2CA1"/>
    <w:rsid w:val="3ADE5D64"/>
    <w:rsid w:val="3ADE7B13"/>
    <w:rsid w:val="3AE07DBB"/>
    <w:rsid w:val="3AE3337B"/>
    <w:rsid w:val="3AE55345"/>
    <w:rsid w:val="3AE555F4"/>
    <w:rsid w:val="3AE72E6B"/>
    <w:rsid w:val="3AE8273F"/>
    <w:rsid w:val="3AEA295B"/>
    <w:rsid w:val="3AEB1466"/>
    <w:rsid w:val="3AEC11B5"/>
    <w:rsid w:val="3AED2FDA"/>
    <w:rsid w:val="3AEF1D20"/>
    <w:rsid w:val="3AF02707"/>
    <w:rsid w:val="3AF17846"/>
    <w:rsid w:val="3AF235BE"/>
    <w:rsid w:val="3AF31FCA"/>
    <w:rsid w:val="3AF47336"/>
    <w:rsid w:val="3AF64E5C"/>
    <w:rsid w:val="3AF70BD4"/>
    <w:rsid w:val="3AFA0DF0"/>
    <w:rsid w:val="3AFB2473"/>
    <w:rsid w:val="3AFD61EB"/>
    <w:rsid w:val="3AFE01B5"/>
    <w:rsid w:val="3B005CDB"/>
    <w:rsid w:val="3B010619"/>
    <w:rsid w:val="3B051543"/>
    <w:rsid w:val="3B0532F1"/>
    <w:rsid w:val="3B07350D"/>
    <w:rsid w:val="3B077069"/>
    <w:rsid w:val="3B0774FE"/>
    <w:rsid w:val="3B082DE1"/>
    <w:rsid w:val="3B084B8F"/>
    <w:rsid w:val="3B086FE8"/>
    <w:rsid w:val="3B0A0908"/>
    <w:rsid w:val="3B0A473E"/>
    <w:rsid w:val="3B0C4680"/>
    <w:rsid w:val="3B0C6CD6"/>
    <w:rsid w:val="3B0D4800"/>
    <w:rsid w:val="3B0F23C2"/>
    <w:rsid w:val="3B0F5F1E"/>
    <w:rsid w:val="3B163750"/>
    <w:rsid w:val="3B1654FE"/>
    <w:rsid w:val="3B1672AC"/>
    <w:rsid w:val="3B181276"/>
    <w:rsid w:val="3B194FEF"/>
    <w:rsid w:val="3B196D9D"/>
    <w:rsid w:val="3B1B0D67"/>
    <w:rsid w:val="3B1B22A0"/>
    <w:rsid w:val="3B1B48C3"/>
    <w:rsid w:val="3B1D063B"/>
    <w:rsid w:val="3B20012B"/>
    <w:rsid w:val="3B2319C9"/>
    <w:rsid w:val="3B255741"/>
    <w:rsid w:val="3B263647"/>
    <w:rsid w:val="3B286FE0"/>
    <w:rsid w:val="3B293484"/>
    <w:rsid w:val="3B295232"/>
    <w:rsid w:val="3B2A0FAA"/>
    <w:rsid w:val="3B2C4D22"/>
    <w:rsid w:val="3B2F65C0"/>
    <w:rsid w:val="3B304812"/>
    <w:rsid w:val="3B3140E6"/>
    <w:rsid w:val="3B3224BA"/>
    <w:rsid w:val="3B331C0C"/>
    <w:rsid w:val="3B365BA1"/>
    <w:rsid w:val="3B36794F"/>
    <w:rsid w:val="3B381919"/>
    <w:rsid w:val="3B3836C7"/>
    <w:rsid w:val="3B3B4F65"/>
    <w:rsid w:val="3B3B6D13"/>
    <w:rsid w:val="3B3F4A55"/>
    <w:rsid w:val="3B420744"/>
    <w:rsid w:val="3B421FAF"/>
    <w:rsid w:val="3B424B80"/>
    <w:rsid w:val="3B4402BD"/>
    <w:rsid w:val="3B471B5C"/>
    <w:rsid w:val="3B47390A"/>
    <w:rsid w:val="3B4756B8"/>
    <w:rsid w:val="3B481C8A"/>
    <w:rsid w:val="3B4958D4"/>
    <w:rsid w:val="3B4B164C"/>
    <w:rsid w:val="3B516ED3"/>
    <w:rsid w:val="3B5322AF"/>
    <w:rsid w:val="3B5953EB"/>
    <w:rsid w:val="3B5A188F"/>
    <w:rsid w:val="3B5B29A2"/>
    <w:rsid w:val="3B5B73B5"/>
    <w:rsid w:val="3B5B7B12"/>
    <w:rsid w:val="3B5C6287"/>
    <w:rsid w:val="3B5D312D"/>
    <w:rsid w:val="3B5F0C53"/>
    <w:rsid w:val="3B5F50F7"/>
    <w:rsid w:val="3B651FE2"/>
    <w:rsid w:val="3B6A75F8"/>
    <w:rsid w:val="3B6B3A9C"/>
    <w:rsid w:val="3B6F4279"/>
    <w:rsid w:val="3B7010B2"/>
    <w:rsid w:val="3B714E2B"/>
    <w:rsid w:val="3B716BD9"/>
    <w:rsid w:val="3B73251E"/>
    <w:rsid w:val="3B7339AE"/>
    <w:rsid w:val="3B7346FF"/>
    <w:rsid w:val="3B765F9D"/>
    <w:rsid w:val="3B783AC3"/>
    <w:rsid w:val="3B7A1BBA"/>
    <w:rsid w:val="3B7B1805"/>
    <w:rsid w:val="3B7D732B"/>
    <w:rsid w:val="3B822B94"/>
    <w:rsid w:val="3B824942"/>
    <w:rsid w:val="3B827442"/>
    <w:rsid w:val="3B83709F"/>
    <w:rsid w:val="3B881808"/>
    <w:rsid w:val="3B8C3A12"/>
    <w:rsid w:val="3B8C57C0"/>
    <w:rsid w:val="3B8E1539"/>
    <w:rsid w:val="3B8E32E7"/>
    <w:rsid w:val="3B9315C8"/>
    <w:rsid w:val="3B974891"/>
    <w:rsid w:val="3B9A1C8B"/>
    <w:rsid w:val="3B9B1061"/>
    <w:rsid w:val="3B9B7FE9"/>
    <w:rsid w:val="3B9C3C56"/>
    <w:rsid w:val="3B9F54F4"/>
    <w:rsid w:val="3BA0301A"/>
    <w:rsid w:val="3BA40D5C"/>
    <w:rsid w:val="3BA42B0A"/>
    <w:rsid w:val="3BA725FA"/>
    <w:rsid w:val="3BA73665"/>
    <w:rsid w:val="3BA945C4"/>
    <w:rsid w:val="3BAC19BF"/>
    <w:rsid w:val="3BAC5E63"/>
    <w:rsid w:val="3BAC7BF6"/>
    <w:rsid w:val="3BAC7C11"/>
    <w:rsid w:val="3BAE3989"/>
    <w:rsid w:val="3BAF01E0"/>
    <w:rsid w:val="3BAF6FB8"/>
    <w:rsid w:val="3BB0325D"/>
    <w:rsid w:val="3BB07701"/>
    <w:rsid w:val="3BB16FD5"/>
    <w:rsid w:val="3BB80364"/>
    <w:rsid w:val="3BBA232E"/>
    <w:rsid w:val="3BBF3CCF"/>
    <w:rsid w:val="3BC13445"/>
    <w:rsid w:val="3BC136BC"/>
    <w:rsid w:val="3BC23194"/>
    <w:rsid w:val="3BC46D08"/>
    <w:rsid w:val="3BC76410"/>
    <w:rsid w:val="3BC96A15"/>
    <w:rsid w:val="3BCB70C7"/>
    <w:rsid w:val="3BCC3E0F"/>
    <w:rsid w:val="3BCC6E16"/>
    <w:rsid w:val="3BCE402B"/>
    <w:rsid w:val="3BD00368"/>
    <w:rsid w:val="3BD01B51"/>
    <w:rsid w:val="3BD11425"/>
    <w:rsid w:val="3BD12F39"/>
    <w:rsid w:val="3BD3519D"/>
    <w:rsid w:val="3BD479B6"/>
    <w:rsid w:val="3BD72EE0"/>
    <w:rsid w:val="3BD75B04"/>
    <w:rsid w:val="3BD80A06"/>
    <w:rsid w:val="3BDA477E"/>
    <w:rsid w:val="3BDC004C"/>
    <w:rsid w:val="3BDD426E"/>
    <w:rsid w:val="3BDF7FE6"/>
    <w:rsid w:val="3BE13D5E"/>
    <w:rsid w:val="3BE15B0C"/>
    <w:rsid w:val="3BE253E0"/>
    <w:rsid w:val="3BE7089C"/>
    <w:rsid w:val="3BE850ED"/>
    <w:rsid w:val="3BE9676F"/>
    <w:rsid w:val="3BE96CFB"/>
    <w:rsid w:val="3BEB0739"/>
    <w:rsid w:val="3BEB698B"/>
    <w:rsid w:val="3BEC625F"/>
    <w:rsid w:val="3BF03FA1"/>
    <w:rsid w:val="3BF07AFD"/>
    <w:rsid w:val="3BF27D19"/>
    <w:rsid w:val="3BF43905"/>
    <w:rsid w:val="3BF47C3C"/>
    <w:rsid w:val="3BF84C04"/>
    <w:rsid w:val="3BF860E4"/>
    <w:rsid w:val="3BF910A8"/>
    <w:rsid w:val="3BF97574"/>
    <w:rsid w:val="3BFA6BCE"/>
    <w:rsid w:val="3BFC46F4"/>
    <w:rsid w:val="3BFC64A2"/>
    <w:rsid w:val="3BFF41E4"/>
    <w:rsid w:val="3C005D06"/>
    <w:rsid w:val="3C017F5D"/>
    <w:rsid w:val="3C027831"/>
    <w:rsid w:val="3C0360E3"/>
    <w:rsid w:val="3C0435A9"/>
    <w:rsid w:val="3C047A4D"/>
    <w:rsid w:val="3C0637C5"/>
    <w:rsid w:val="3C065573"/>
    <w:rsid w:val="3C067321"/>
    <w:rsid w:val="3C08753D"/>
    <w:rsid w:val="3C096E11"/>
    <w:rsid w:val="3C0B2B89"/>
    <w:rsid w:val="3C0C42A9"/>
    <w:rsid w:val="3C112BD1"/>
    <w:rsid w:val="3C137C90"/>
    <w:rsid w:val="3C1732DC"/>
    <w:rsid w:val="3C173E22"/>
    <w:rsid w:val="3C187054"/>
    <w:rsid w:val="3C1A101E"/>
    <w:rsid w:val="3C1A2DCC"/>
    <w:rsid w:val="3C2105FF"/>
    <w:rsid w:val="3C237ED3"/>
    <w:rsid w:val="3C291261"/>
    <w:rsid w:val="3C29300F"/>
    <w:rsid w:val="3C2B322B"/>
    <w:rsid w:val="3C2D2B00"/>
    <w:rsid w:val="3C2D6FA3"/>
    <w:rsid w:val="3C2E0626"/>
    <w:rsid w:val="3C326368"/>
    <w:rsid w:val="3C357C06"/>
    <w:rsid w:val="3C3916B9"/>
    <w:rsid w:val="3C3A0A68"/>
    <w:rsid w:val="3C3A521C"/>
    <w:rsid w:val="3C3C71E7"/>
    <w:rsid w:val="3C3D5C18"/>
    <w:rsid w:val="3C3D6ABB"/>
    <w:rsid w:val="3C3F2833"/>
    <w:rsid w:val="3C4165AB"/>
    <w:rsid w:val="3C430575"/>
    <w:rsid w:val="3C44609B"/>
    <w:rsid w:val="3C461E13"/>
    <w:rsid w:val="3C4816E7"/>
    <w:rsid w:val="3C48192B"/>
    <w:rsid w:val="3C485B8B"/>
    <w:rsid w:val="3C4B19ED"/>
    <w:rsid w:val="3C4B567C"/>
    <w:rsid w:val="3C4E0CC8"/>
    <w:rsid w:val="3C4E2A76"/>
    <w:rsid w:val="3C510D46"/>
    <w:rsid w:val="3C552056"/>
    <w:rsid w:val="3C577B7C"/>
    <w:rsid w:val="3C580899"/>
    <w:rsid w:val="3C5A2C90"/>
    <w:rsid w:val="3C5A40AF"/>
    <w:rsid w:val="3C5A766D"/>
    <w:rsid w:val="3C5C5193"/>
    <w:rsid w:val="3C5E0698"/>
    <w:rsid w:val="3C5E0F0B"/>
    <w:rsid w:val="3C6329C5"/>
    <w:rsid w:val="3C634773"/>
    <w:rsid w:val="3C642299"/>
    <w:rsid w:val="3C666012"/>
    <w:rsid w:val="3C667DC0"/>
    <w:rsid w:val="3C687FDC"/>
    <w:rsid w:val="3C6978B0"/>
    <w:rsid w:val="3C6B7ACC"/>
    <w:rsid w:val="3C6E4EC6"/>
    <w:rsid w:val="3C6F136A"/>
    <w:rsid w:val="3C6F3118"/>
    <w:rsid w:val="3C6F5700"/>
    <w:rsid w:val="3C700C3E"/>
    <w:rsid w:val="3C7050E2"/>
    <w:rsid w:val="3C7324DC"/>
    <w:rsid w:val="3C7649A9"/>
    <w:rsid w:val="3C77021F"/>
    <w:rsid w:val="3C771FCD"/>
    <w:rsid w:val="3C797AF3"/>
    <w:rsid w:val="3C7A1ABD"/>
    <w:rsid w:val="3C7B75F2"/>
    <w:rsid w:val="3C7B7D0F"/>
    <w:rsid w:val="3C7C3A87"/>
    <w:rsid w:val="3C7C75E3"/>
    <w:rsid w:val="3C7F5E1B"/>
    <w:rsid w:val="3C812E4B"/>
    <w:rsid w:val="3C836BC3"/>
    <w:rsid w:val="3C8841DA"/>
    <w:rsid w:val="3C8A7F52"/>
    <w:rsid w:val="3C8B3CCA"/>
    <w:rsid w:val="3C8D17A0"/>
    <w:rsid w:val="3C8D359E"/>
    <w:rsid w:val="3C8E6785"/>
    <w:rsid w:val="3C8F37BA"/>
    <w:rsid w:val="3C9012E0"/>
    <w:rsid w:val="3C9138DB"/>
    <w:rsid w:val="3C926DF4"/>
    <w:rsid w:val="3C94492D"/>
    <w:rsid w:val="3C990195"/>
    <w:rsid w:val="3C9C5ED7"/>
    <w:rsid w:val="3C9E5ED0"/>
    <w:rsid w:val="3CA07775"/>
    <w:rsid w:val="3CA3164A"/>
    <w:rsid w:val="3CA408E8"/>
    <w:rsid w:val="3CA60B04"/>
    <w:rsid w:val="3CAA05F4"/>
    <w:rsid w:val="3CAA0A65"/>
    <w:rsid w:val="3CAA4150"/>
    <w:rsid w:val="3CAD1E92"/>
    <w:rsid w:val="3CAD59EE"/>
    <w:rsid w:val="3CB04B3A"/>
    <w:rsid w:val="3CB2496C"/>
    <w:rsid w:val="3CB274A9"/>
    <w:rsid w:val="3CB43221"/>
    <w:rsid w:val="3CB437A1"/>
    <w:rsid w:val="3CB55DDB"/>
    <w:rsid w:val="3CB7061B"/>
    <w:rsid w:val="3CB7686D"/>
    <w:rsid w:val="3CB94393"/>
    <w:rsid w:val="3CBC20D5"/>
    <w:rsid w:val="3CBD0327"/>
    <w:rsid w:val="3CBD19FA"/>
    <w:rsid w:val="3CBD713E"/>
    <w:rsid w:val="3CBE5B25"/>
    <w:rsid w:val="3CC50F8A"/>
    <w:rsid w:val="3CC52D38"/>
    <w:rsid w:val="3CC571DC"/>
    <w:rsid w:val="3CC64D02"/>
    <w:rsid w:val="3CC80A7A"/>
    <w:rsid w:val="3CCB40C7"/>
    <w:rsid w:val="3CCC056A"/>
    <w:rsid w:val="3CCC57A3"/>
    <w:rsid w:val="3CCD342E"/>
    <w:rsid w:val="3CCD7E3F"/>
    <w:rsid w:val="3CCF005B"/>
    <w:rsid w:val="3CCF1E09"/>
    <w:rsid w:val="3CD13DD3"/>
    <w:rsid w:val="3CD45671"/>
    <w:rsid w:val="3CD57E89"/>
    <w:rsid w:val="3CD64F45"/>
    <w:rsid w:val="3CD662DF"/>
    <w:rsid w:val="3CD70CBD"/>
    <w:rsid w:val="3CD92C87"/>
    <w:rsid w:val="3CD967E3"/>
    <w:rsid w:val="3CDB07AE"/>
    <w:rsid w:val="3CDD2778"/>
    <w:rsid w:val="3CDE029E"/>
    <w:rsid w:val="3CDE204C"/>
    <w:rsid w:val="3CDF7907"/>
    <w:rsid w:val="3CE024D8"/>
    <w:rsid w:val="3CE07B72"/>
    <w:rsid w:val="3CE138EA"/>
    <w:rsid w:val="3CE27D8E"/>
    <w:rsid w:val="3CE47EED"/>
    <w:rsid w:val="3CE5162C"/>
    <w:rsid w:val="3CE55188"/>
    <w:rsid w:val="3CE8111C"/>
    <w:rsid w:val="3CE81A7C"/>
    <w:rsid w:val="3CE82ECA"/>
    <w:rsid w:val="3CEA09F1"/>
    <w:rsid w:val="3CEC29BB"/>
    <w:rsid w:val="3CEF4259"/>
    <w:rsid w:val="3CEF73FC"/>
    <w:rsid w:val="3CF11D7F"/>
    <w:rsid w:val="3CF1711C"/>
    <w:rsid w:val="3CF25AF7"/>
    <w:rsid w:val="3CF278A5"/>
    <w:rsid w:val="3CF4361D"/>
    <w:rsid w:val="3CF5326E"/>
    <w:rsid w:val="3CF646FE"/>
    <w:rsid w:val="3CF967CC"/>
    <w:rsid w:val="3CFA56B4"/>
    <w:rsid w:val="3CFC24D2"/>
    <w:rsid w:val="3D001FC2"/>
    <w:rsid w:val="3D006466"/>
    <w:rsid w:val="3D025872"/>
    <w:rsid w:val="3D037D04"/>
    <w:rsid w:val="3D05582A"/>
    <w:rsid w:val="3D0715A3"/>
    <w:rsid w:val="3D0870C9"/>
    <w:rsid w:val="3D0A1093"/>
    <w:rsid w:val="3D0C6BB9"/>
    <w:rsid w:val="3D0E357A"/>
    <w:rsid w:val="3D0E5556"/>
    <w:rsid w:val="3D121CF5"/>
    <w:rsid w:val="3D141F11"/>
    <w:rsid w:val="3D145A6E"/>
    <w:rsid w:val="3D1617E6"/>
    <w:rsid w:val="3D163594"/>
    <w:rsid w:val="3D163AF2"/>
    <w:rsid w:val="3D176EBA"/>
    <w:rsid w:val="3D1D0DC6"/>
    <w:rsid w:val="3D22018A"/>
    <w:rsid w:val="3D232155"/>
    <w:rsid w:val="3D25174A"/>
    <w:rsid w:val="3D26209C"/>
    <w:rsid w:val="3D2739F3"/>
    <w:rsid w:val="3D290A1D"/>
    <w:rsid w:val="3D29776B"/>
    <w:rsid w:val="3D2C2DB7"/>
    <w:rsid w:val="3D2D67D5"/>
    <w:rsid w:val="3D2F28A7"/>
    <w:rsid w:val="3D2F4655"/>
    <w:rsid w:val="3D3103CE"/>
    <w:rsid w:val="3D3108F0"/>
    <w:rsid w:val="3D321D80"/>
    <w:rsid w:val="3D332764"/>
    <w:rsid w:val="3D340354"/>
    <w:rsid w:val="3D346110"/>
    <w:rsid w:val="3D3632D2"/>
    <w:rsid w:val="3D373021"/>
    <w:rsid w:val="3D3842E3"/>
    <w:rsid w:val="3D3A1978"/>
    <w:rsid w:val="3D3B749E"/>
    <w:rsid w:val="3D3D3216"/>
    <w:rsid w:val="3D3D4FC4"/>
    <w:rsid w:val="3D3E0322"/>
    <w:rsid w:val="3D404AB5"/>
    <w:rsid w:val="3D42082D"/>
    <w:rsid w:val="3D430688"/>
    <w:rsid w:val="3D4445A5"/>
    <w:rsid w:val="3D477BF1"/>
    <w:rsid w:val="3D4B4DAF"/>
    <w:rsid w:val="3D4C16AB"/>
    <w:rsid w:val="3D4C5207"/>
    <w:rsid w:val="3D4D399F"/>
    <w:rsid w:val="3D4E0F7F"/>
    <w:rsid w:val="3D4E71D1"/>
    <w:rsid w:val="3D504CB9"/>
    <w:rsid w:val="3D54230E"/>
    <w:rsid w:val="3D557CEA"/>
    <w:rsid w:val="3D5633FB"/>
    <w:rsid w:val="3D567E34"/>
    <w:rsid w:val="3D583BAC"/>
    <w:rsid w:val="3D591ABC"/>
    <w:rsid w:val="3D5B18EE"/>
    <w:rsid w:val="3D5E4F3B"/>
    <w:rsid w:val="3D5F13DF"/>
    <w:rsid w:val="3D5F318D"/>
    <w:rsid w:val="3D5F4763"/>
    <w:rsid w:val="3D5F6A55"/>
    <w:rsid w:val="3D606F05"/>
    <w:rsid w:val="3D610E5E"/>
    <w:rsid w:val="3D622C7D"/>
    <w:rsid w:val="3D632551"/>
    <w:rsid w:val="3D636C5F"/>
    <w:rsid w:val="3D64203D"/>
    <w:rsid w:val="3D65276D"/>
    <w:rsid w:val="3D6562C9"/>
    <w:rsid w:val="3D670293"/>
    <w:rsid w:val="3D672041"/>
    <w:rsid w:val="3D6764E5"/>
    <w:rsid w:val="3D686160"/>
    <w:rsid w:val="3D687578"/>
    <w:rsid w:val="3D695DB9"/>
    <w:rsid w:val="3D6A1B31"/>
    <w:rsid w:val="3D6C7658"/>
    <w:rsid w:val="3D734E8A"/>
    <w:rsid w:val="3D74475E"/>
    <w:rsid w:val="3D74650C"/>
    <w:rsid w:val="3D762284"/>
    <w:rsid w:val="3D7824A0"/>
    <w:rsid w:val="3D793B23"/>
    <w:rsid w:val="3D7B5AED"/>
    <w:rsid w:val="3D7E738B"/>
    <w:rsid w:val="3D7F382F"/>
    <w:rsid w:val="3D7F55DD"/>
    <w:rsid w:val="3D804EB1"/>
    <w:rsid w:val="3D8175A7"/>
    <w:rsid w:val="3D8250CD"/>
    <w:rsid w:val="3D8628AB"/>
    <w:rsid w:val="3D89645B"/>
    <w:rsid w:val="3D8C1249"/>
    <w:rsid w:val="3D8C1AA8"/>
    <w:rsid w:val="3D8E5820"/>
    <w:rsid w:val="3D8E75CE"/>
    <w:rsid w:val="3D8F1598"/>
    <w:rsid w:val="3D8F3346"/>
    <w:rsid w:val="3D9077EA"/>
    <w:rsid w:val="3D9170BE"/>
    <w:rsid w:val="3D922C7D"/>
    <w:rsid w:val="3D9236E4"/>
    <w:rsid w:val="3D9372DA"/>
    <w:rsid w:val="3D960B78"/>
    <w:rsid w:val="3D9A2417"/>
    <w:rsid w:val="3D9B7F3D"/>
    <w:rsid w:val="3D9F7A2D"/>
    <w:rsid w:val="3DA07301"/>
    <w:rsid w:val="3DA43295"/>
    <w:rsid w:val="3DA54918"/>
    <w:rsid w:val="3DA74B34"/>
    <w:rsid w:val="3DA9265A"/>
    <w:rsid w:val="3DAA0180"/>
    <w:rsid w:val="3DAB4624"/>
    <w:rsid w:val="3DAC3EF8"/>
    <w:rsid w:val="3DAE5EC2"/>
    <w:rsid w:val="3DB00644"/>
    <w:rsid w:val="3DB159B2"/>
    <w:rsid w:val="3DB17760"/>
    <w:rsid w:val="3DB334D8"/>
    <w:rsid w:val="3DB42DAD"/>
    <w:rsid w:val="3DB64D77"/>
    <w:rsid w:val="3DB66B25"/>
    <w:rsid w:val="3DB7434A"/>
    <w:rsid w:val="3DBA4867"/>
    <w:rsid w:val="3DBB413B"/>
    <w:rsid w:val="3DBD6105"/>
    <w:rsid w:val="3DBF00CF"/>
    <w:rsid w:val="3DC12D0A"/>
    <w:rsid w:val="3DC15BF5"/>
    <w:rsid w:val="3DC41242"/>
    <w:rsid w:val="3DC47494"/>
    <w:rsid w:val="3DC47569"/>
    <w:rsid w:val="3DC6320C"/>
    <w:rsid w:val="3DC63FAB"/>
    <w:rsid w:val="3DCD5080"/>
    <w:rsid w:val="3DCE3E6E"/>
    <w:rsid w:val="3DD05E38"/>
    <w:rsid w:val="3DD11BB1"/>
    <w:rsid w:val="3DD3114F"/>
    <w:rsid w:val="3DD35929"/>
    <w:rsid w:val="3DD376D7"/>
    <w:rsid w:val="3DD516A1"/>
    <w:rsid w:val="3DD5344F"/>
    <w:rsid w:val="3DD716B3"/>
    <w:rsid w:val="3DD84CED"/>
    <w:rsid w:val="3DDB658B"/>
    <w:rsid w:val="3DDC61D1"/>
    <w:rsid w:val="3DDF3C75"/>
    <w:rsid w:val="3DE11DF4"/>
    <w:rsid w:val="3DE23DBE"/>
    <w:rsid w:val="3DE37141"/>
    <w:rsid w:val="3DE418E4"/>
    <w:rsid w:val="3DE713D4"/>
    <w:rsid w:val="3DE9514C"/>
    <w:rsid w:val="3DEC5B5C"/>
    <w:rsid w:val="3DF00289"/>
    <w:rsid w:val="3DF02037"/>
    <w:rsid w:val="3DF067DF"/>
    <w:rsid w:val="3DF15A33"/>
    <w:rsid w:val="3DF15DAF"/>
    <w:rsid w:val="3DF47029"/>
    <w:rsid w:val="3DF504B9"/>
    <w:rsid w:val="3DF5589F"/>
    <w:rsid w:val="3DF71C39"/>
    <w:rsid w:val="3DFA1107"/>
    <w:rsid w:val="3DFB09DB"/>
    <w:rsid w:val="3DFC6C2D"/>
    <w:rsid w:val="3E015FF2"/>
    <w:rsid w:val="3E027FBC"/>
    <w:rsid w:val="3E047890"/>
    <w:rsid w:val="3E0538DA"/>
    <w:rsid w:val="3E09134A"/>
    <w:rsid w:val="3E0B50C2"/>
    <w:rsid w:val="3E0D0E3B"/>
    <w:rsid w:val="3E104487"/>
    <w:rsid w:val="3E1279E1"/>
    <w:rsid w:val="3E18333B"/>
    <w:rsid w:val="3E1A0D44"/>
    <w:rsid w:val="3E1A70B4"/>
    <w:rsid w:val="3E1C2E2C"/>
    <w:rsid w:val="3E1C72D0"/>
    <w:rsid w:val="3E1D07F4"/>
    <w:rsid w:val="3E1D4DF6"/>
    <w:rsid w:val="3E210442"/>
    <w:rsid w:val="3E2148E6"/>
    <w:rsid w:val="3E23065E"/>
    <w:rsid w:val="3E241CE0"/>
    <w:rsid w:val="3E285C74"/>
    <w:rsid w:val="3E295549"/>
    <w:rsid w:val="3E2B12C1"/>
    <w:rsid w:val="3E2E2B5F"/>
    <w:rsid w:val="3E300685"/>
    <w:rsid w:val="3E3068D7"/>
    <w:rsid w:val="3E30750E"/>
    <w:rsid w:val="3E330175"/>
    <w:rsid w:val="3E33045B"/>
    <w:rsid w:val="3E353EED"/>
    <w:rsid w:val="3E371A14"/>
    <w:rsid w:val="3E377C66"/>
    <w:rsid w:val="3E3839DE"/>
    <w:rsid w:val="3E3851D9"/>
    <w:rsid w:val="3E391222"/>
    <w:rsid w:val="3E39158D"/>
    <w:rsid w:val="3E392B8C"/>
    <w:rsid w:val="3E3A0EB7"/>
    <w:rsid w:val="3E3F2FBE"/>
    <w:rsid w:val="3E3F6B1A"/>
    <w:rsid w:val="3E412892"/>
    <w:rsid w:val="3E444130"/>
    <w:rsid w:val="3E452870"/>
    <w:rsid w:val="3E46434D"/>
    <w:rsid w:val="3E4660FB"/>
    <w:rsid w:val="3E4668D1"/>
    <w:rsid w:val="3E491747"/>
    <w:rsid w:val="3E495BEB"/>
    <w:rsid w:val="3E4C5F02"/>
    <w:rsid w:val="3E4E4FAF"/>
    <w:rsid w:val="3E4F5F4D"/>
    <w:rsid w:val="3E502AD5"/>
    <w:rsid w:val="3E504F7D"/>
    <w:rsid w:val="3E506F79"/>
    <w:rsid w:val="3E526909"/>
    <w:rsid w:val="3E530817"/>
    <w:rsid w:val="3E531BDD"/>
    <w:rsid w:val="3E5500EC"/>
    <w:rsid w:val="3E554590"/>
    <w:rsid w:val="3E55633E"/>
    <w:rsid w:val="3E564C85"/>
    <w:rsid w:val="3E566547"/>
    <w:rsid w:val="3E5932AF"/>
    <w:rsid w:val="3E5B4A96"/>
    <w:rsid w:val="3E5B4BB6"/>
    <w:rsid w:val="3E5C147A"/>
    <w:rsid w:val="3E5C591E"/>
    <w:rsid w:val="3E5E3444"/>
    <w:rsid w:val="3E5F71BC"/>
    <w:rsid w:val="3E611186"/>
    <w:rsid w:val="3E614CE2"/>
    <w:rsid w:val="3E6309CA"/>
    <w:rsid w:val="3E6622F9"/>
    <w:rsid w:val="3E682515"/>
    <w:rsid w:val="3E6B790F"/>
    <w:rsid w:val="3E6D3687"/>
    <w:rsid w:val="3E6D7B2B"/>
    <w:rsid w:val="3E6F38A3"/>
    <w:rsid w:val="3E6F5651"/>
    <w:rsid w:val="3E7013C9"/>
    <w:rsid w:val="3E704F26"/>
    <w:rsid w:val="3E706C67"/>
    <w:rsid w:val="3E725142"/>
    <w:rsid w:val="3E734A16"/>
    <w:rsid w:val="3E740EBA"/>
    <w:rsid w:val="3E74194F"/>
    <w:rsid w:val="3E75253C"/>
    <w:rsid w:val="3E7651DA"/>
    <w:rsid w:val="3E78202C"/>
    <w:rsid w:val="3E7964D0"/>
    <w:rsid w:val="3E7D7E30"/>
    <w:rsid w:val="3E7E5894"/>
    <w:rsid w:val="3E7E7642"/>
    <w:rsid w:val="3E802E0C"/>
    <w:rsid w:val="3E8400D2"/>
    <w:rsid w:val="3E864749"/>
    <w:rsid w:val="3E88226F"/>
    <w:rsid w:val="3E895FE7"/>
    <w:rsid w:val="3E8B7FB1"/>
    <w:rsid w:val="3E8D3D29"/>
    <w:rsid w:val="3E8F7AA2"/>
    <w:rsid w:val="3E907376"/>
    <w:rsid w:val="3E9230EE"/>
    <w:rsid w:val="3E927592"/>
    <w:rsid w:val="3E940B72"/>
    <w:rsid w:val="3E946368"/>
    <w:rsid w:val="3E95498C"/>
    <w:rsid w:val="3E976956"/>
    <w:rsid w:val="3E990920"/>
    <w:rsid w:val="3E99447C"/>
    <w:rsid w:val="3E9A6446"/>
    <w:rsid w:val="3E9C21BE"/>
    <w:rsid w:val="3E9F347B"/>
    <w:rsid w:val="3EA01CAF"/>
    <w:rsid w:val="3EA13331"/>
    <w:rsid w:val="3EA250D8"/>
    <w:rsid w:val="3EA3354D"/>
    <w:rsid w:val="3EA352FB"/>
    <w:rsid w:val="3EA42E21"/>
    <w:rsid w:val="3EA4718A"/>
    <w:rsid w:val="3EAA487D"/>
    <w:rsid w:val="3EAB1A1E"/>
    <w:rsid w:val="3EB017C6"/>
    <w:rsid w:val="3EB05C6A"/>
    <w:rsid w:val="3EB219E2"/>
    <w:rsid w:val="3EB2553E"/>
    <w:rsid w:val="3EB45031"/>
    <w:rsid w:val="3EB709F3"/>
    <w:rsid w:val="3EB72B54"/>
    <w:rsid w:val="3EBA43F3"/>
    <w:rsid w:val="3EC05384"/>
    <w:rsid w:val="3EC05EAD"/>
    <w:rsid w:val="3EC15781"/>
    <w:rsid w:val="3EC65D55"/>
    <w:rsid w:val="3EC6723B"/>
    <w:rsid w:val="3EC84510"/>
    <w:rsid w:val="3ECB4852"/>
    <w:rsid w:val="3ECC295E"/>
    <w:rsid w:val="3ECC2AA4"/>
    <w:rsid w:val="3ECE409C"/>
    <w:rsid w:val="3ED00105"/>
    <w:rsid w:val="3ED01E68"/>
    <w:rsid w:val="3ED43706"/>
    <w:rsid w:val="3ED454B4"/>
    <w:rsid w:val="3ED5611A"/>
    <w:rsid w:val="3ED656D0"/>
    <w:rsid w:val="3EDA0AFC"/>
    <w:rsid w:val="3EDA6843"/>
    <w:rsid w:val="3EDC080D"/>
    <w:rsid w:val="3EDC25BB"/>
    <w:rsid w:val="3EDF57C3"/>
    <w:rsid w:val="3EE020AB"/>
    <w:rsid w:val="3EE14075"/>
    <w:rsid w:val="3EE41BAE"/>
    <w:rsid w:val="3EE55913"/>
    <w:rsid w:val="3EE871B2"/>
    <w:rsid w:val="3EEA4CD8"/>
    <w:rsid w:val="3EED2A1A"/>
    <w:rsid w:val="3EEE3679"/>
    <w:rsid w:val="3EEF0402"/>
    <w:rsid w:val="3EEF1097"/>
    <w:rsid w:val="3EEF6792"/>
    <w:rsid w:val="3EF43DA9"/>
    <w:rsid w:val="3EF45B57"/>
    <w:rsid w:val="3EF508F9"/>
    <w:rsid w:val="3EF868E3"/>
    <w:rsid w:val="3EF94872"/>
    <w:rsid w:val="3EFB5137"/>
    <w:rsid w:val="3EFC4A0B"/>
    <w:rsid w:val="3EFE0783"/>
    <w:rsid w:val="3EFE4C27"/>
    <w:rsid w:val="3EFE69D5"/>
    <w:rsid w:val="3F00274D"/>
    <w:rsid w:val="3F010273"/>
    <w:rsid w:val="3F0120EC"/>
    <w:rsid w:val="3F03223E"/>
    <w:rsid w:val="3F035D9A"/>
    <w:rsid w:val="3F051B12"/>
    <w:rsid w:val="3F057D64"/>
    <w:rsid w:val="3F067638"/>
    <w:rsid w:val="3F081602"/>
    <w:rsid w:val="3F0833B0"/>
    <w:rsid w:val="3F0A35CC"/>
    <w:rsid w:val="3F0B4C4E"/>
    <w:rsid w:val="3F0D1EF3"/>
    <w:rsid w:val="3F0D6C18"/>
    <w:rsid w:val="3F1104B7"/>
    <w:rsid w:val="3F116709"/>
    <w:rsid w:val="3F12205B"/>
    <w:rsid w:val="3F141D55"/>
    <w:rsid w:val="3F143839"/>
    <w:rsid w:val="3F163D1F"/>
    <w:rsid w:val="3F180A9E"/>
    <w:rsid w:val="3F180FFC"/>
    <w:rsid w:val="3F19736B"/>
    <w:rsid w:val="3F1B1335"/>
    <w:rsid w:val="3F1C5CDE"/>
    <w:rsid w:val="3F1D1D3F"/>
    <w:rsid w:val="3F235AF6"/>
    <w:rsid w:val="3F23643C"/>
    <w:rsid w:val="3F2521B4"/>
    <w:rsid w:val="3F253F62"/>
    <w:rsid w:val="3F255D10"/>
    <w:rsid w:val="3F281CA4"/>
    <w:rsid w:val="3F2C52F0"/>
    <w:rsid w:val="3F310B59"/>
    <w:rsid w:val="3F3240FC"/>
    <w:rsid w:val="3F352108"/>
    <w:rsid w:val="3F375A43"/>
    <w:rsid w:val="3F395C5F"/>
    <w:rsid w:val="3F3D74FE"/>
    <w:rsid w:val="3F3E5024"/>
    <w:rsid w:val="3F402B4A"/>
    <w:rsid w:val="3F406FEE"/>
    <w:rsid w:val="3F407CAA"/>
    <w:rsid w:val="3F422D66"/>
    <w:rsid w:val="3F43088C"/>
    <w:rsid w:val="3F444EEA"/>
    <w:rsid w:val="3F457ABB"/>
    <w:rsid w:val="3F463CE0"/>
    <w:rsid w:val="3F47037C"/>
    <w:rsid w:val="3F47212A"/>
    <w:rsid w:val="3F473ED8"/>
    <w:rsid w:val="3F48386B"/>
    <w:rsid w:val="3F485EA2"/>
    <w:rsid w:val="3F4A1C1A"/>
    <w:rsid w:val="3F4B21EC"/>
    <w:rsid w:val="3F4D34B9"/>
    <w:rsid w:val="3F4F4175"/>
    <w:rsid w:val="3F5056EE"/>
    <w:rsid w:val="3F514D57"/>
    <w:rsid w:val="3F524B18"/>
    <w:rsid w:val="3F542A99"/>
    <w:rsid w:val="3F544847"/>
    <w:rsid w:val="3F577E93"/>
    <w:rsid w:val="3F584337"/>
    <w:rsid w:val="3F591E5E"/>
    <w:rsid w:val="3F5B3E28"/>
    <w:rsid w:val="3F5B5BD6"/>
    <w:rsid w:val="3F5C3171"/>
    <w:rsid w:val="3F5C54AA"/>
    <w:rsid w:val="3F5D36FC"/>
    <w:rsid w:val="3F5E1222"/>
    <w:rsid w:val="3F5E7474"/>
    <w:rsid w:val="3F6251B6"/>
    <w:rsid w:val="3F632CDC"/>
    <w:rsid w:val="3F650802"/>
    <w:rsid w:val="3F6525B0"/>
    <w:rsid w:val="3F670284"/>
    <w:rsid w:val="3F676329"/>
    <w:rsid w:val="3F695775"/>
    <w:rsid w:val="3F6A5E19"/>
    <w:rsid w:val="3F6C12E5"/>
    <w:rsid w:val="3F6F1681"/>
    <w:rsid w:val="3F7116EC"/>
    <w:rsid w:val="3F7153F9"/>
    <w:rsid w:val="3F71548E"/>
    <w:rsid w:val="3F740A45"/>
    <w:rsid w:val="3F760C61"/>
    <w:rsid w:val="3F7722E4"/>
    <w:rsid w:val="3F7A33EB"/>
    <w:rsid w:val="3F7A7E3B"/>
    <w:rsid w:val="3F7B0026"/>
    <w:rsid w:val="3F7C0CAD"/>
    <w:rsid w:val="3F7E3672"/>
    <w:rsid w:val="3F7F7B16"/>
    <w:rsid w:val="3F852C53"/>
    <w:rsid w:val="3F932735"/>
    <w:rsid w:val="3F9335C1"/>
    <w:rsid w:val="3F935B7E"/>
    <w:rsid w:val="3F9609BC"/>
    <w:rsid w:val="3F964E60"/>
    <w:rsid w:val="3F9C0604"/>
    <w:rsid w:val="3F9D018A"/>
    <w:rsid w:val="3F9D1D4A"/>
    <w:rsid w:val="3F9E5AC2"/>
    <w:rsid w:val="3F9F1F66"/>
    <w:rsid w:val="3F9F3D14"/>
    <w:rsid w:val="3FA01B56"/>
    <w:rsid w:val="3FA05CDE"/>
    <w:rsid w:val="3FA27F1B"/>
    <w:rsid w:val="3FA330D9"/>
    <w:rsid w:val="3FA52D38"/>
    <w:rsid w:val="3FA629CD"/>
    <w:rsid w:val="3FA7706D"/>
    <w:rsid w:val="3FAA090B"/>
    <w:rsid w:val="3FAC01DF"/>
    <w:rsid w:val="3FB05F21"/>
    <w:rsid w:val="3FB13A48"/>
    <w:rsid w:val="3FB26D04"/>
    <w:rsid w:val="3FB3156E"/>
    <w:rsid w:val="3FB47D1B"/>
    <w:rsid w:val="3FB66F35"/>
    <w:rsid w:val="3FBA265B"/>
    <w:rsid w:val="3FBD23EC"/>
    <w:rsid w:val="3FC03C8B"/>
    <w:rsid w:val="3FC27A03"/>
    <w:rsid w:val="3FC574F3"/>
    <w:rsid w:val="3FC76DC7"/>
    <w:rsid w:val="3FC840B3"/>
    <w:rsid w:val="3FC90AB1"/>
    <w:rsid w:val="3FC90D91"/>
    <w:rsid w:val="3FCA1921"/>
    <w:rsid w:val="3FCE45FA"/>
    <w:rsid w:val="3FCF3ECE"/>
    <w:rsid w:val="3FD118D8"/>
    <w:rsid w:val="3FD140EA"/>
    <w:rsid w:val="3FD339BE"/>
    <w:rsid w:val="3FDA11F0"/>
    <w:rsid w:val="3FE0432D"/>
    <w:rsid w:val="3FE536F1"/>
    <w:rsid w:val="3FE568D4"/>
    <w:rsid w:val="3FE71217"/>
    <w:rsid w:val="3FE931E1"/>
    <w:rsid w:val="3FEB6F5A"/>
    <w:rsid w:val="3FEC2CD2"/>
    <w:rsid w:val="3FEE6A4A"/>
    <w:rsid w:val="3FF12096"/>
    <w:rsid w:val="3FF2702B"/>
    <w:rsid w:val="3FF81676"/>
    <w:rsid w:val="3FF97B90"/>
    <w:rsid w:val="3FFC1C67"/>
    <w:rsid w:val="3FFE3A57"/>
    <w:rsid w:val="4000052B"/>
    <w:rsid w:val="40010EF3"/>
    <w:rsid w:val="4001677D"/>
    <w:rsid w:val="4004001B"/>
    <w:rsid w:val="40050660"/>
    <w:rsid w:val="40063420"/>
    <w:rsid w:val="40077B0C"/>
    <w:rsid w:val="400973E0"/>
    <w:rsid w:val="400C5122"/>
    <w:rsid w:val="400C6ED0"/>
    <w:rsid w:val="400E49F6"/>
    <w:rsid w:val="4010076E"/>
    <w:rsid w:val="40104C12"/>
    <w:rsid w:val="401069C0"/>
    <w:rsid w:val="40113FD0"/>
    <w:rsid w:val="4012098A"/>
    <w:rsid w:val="4013200C"/>
    <w:rsid w:val="401A15ED"/>
    <w:rsid w:val="401C75E6"/>
    <w:rsid w:val="401D732F"/>
    <w:rsid w:val="401F6C03"/>
    <w:rsid w:val="4023709F"/>
    <w:rsid w:val="4024246B"/>
    <w:rsid w:val="4024421A"/>
    <w:rsid w:val="402661E4"/>
    <w:rsid w:val="40271FFF"/>
    <w:rsid w:val="40273D0A"/>
    <w:rsid w:val="40297A82"/>
    <w:rsid w:val="402C30CE"/>
    <w:rsid w:val="402D7572"/>
    <w:rsid w:val="402E5098"/>
    <w:rsid w:val="40324B88"/>
    <w:rsid w:val="40326890"/>
    <w:rsid w:val="40330901"/>
    <w:rsid w:val="40363F4D"/>
    <w:rsid w:val="40371ECC"/>
    <w:rsid w:val="40385F17"/>
    <w:rsid w:val="403B2C2F"/>
    <w:rsid w:val="403C77B5"/>
    <w:rsid w:val="403F1053"/>
    <w:rsid w:val="40414DCB"/>
    <w:rsid w:val="40416B7A"/>
    <w:rsid w:val="40456D33"/>
    <w:rsid w:val="404B79F8"/>
    <w:rsid w:val="404C3770"/>
    <w:rsid w:val="404D0B83"/>
    <w:rsid w:val="404D1D57"/>
    <w:rsid w:val="40500482"/>
    <w:rsid w:val="405014B2"/>
    <w:rsid w:val="40503261"/>
    <w:rsid w:val="4050500F"/>
    <w:rsid w:val="40510BF2"/>
    <w:rsid w:val="40512B35"/>
    <w:rsid w:val="4053216B"/>
    <w:rsid w:val="40534AFF"/>
    <w:rsid w:val="405368AD"/>
    <w:rsid w:val="40541C2A"/>
    <w:rsid w:val="4054751A"/>
    <w:rsid w:val="40552625"/>
    <w:rsid w:val="40572841"/>
    <w:rsid w:val="405745EF"/>
    <w:rsid w:val="4057639D"/>
    <w:rsid w:val="40583EC3"/>
    <w:rsid w:val="40583F95"/>
    <w:rsid w:val="405A7C3B"/>
    <w:rsid w:val="405C1C05"/>
    <w:rsid w:val="40640ABA"/>
    <w:rsid w:val="40644F5E"/>
    <w:rsid w:val="40646B4E"/>
    <w:rsid w:val="40662A84"/>
    <w:rsid w:val="406665E0"/>
    <w:rsid w:val="40672358"/>
    <w:rsid w:val="406867FC"/>
    <w:rsid w:val="40692574"/>
    <w:rsid w:val="406B009A"/>
    <w:rsid w:val="406B713F"/>
    <w:rsid w:val="406C133E"/>
    <w:rsid w:val="406C796F"/>
    <w:rsid w:val="406D3E12"/>
    <w:rsid w:val="406E7B8B"/>
    <w:rsid w:val="40714F85"/>
    <w:rsid w:val="40721429"/>
    <w:rsid w:val="407231D7"/>
    <w:rsid w:val="40726ACA"/>
    <w:rsid w:val="40730CFD"/>
    <w:rsid w:val="40750F19"/>
    <w:rsid w:val="4077259B"/>
    <w:rsid w:val="40774C91"/>
    <w:rsid w:val="407A652F"/>
    <w:rsid w:val="407D392A"/>
    <w:rsid w:val="407E22C6"/>
    <w:rsid w:val="40810C47"/>
    <w:rsid w:val="40833636"/>
    <w:rsid w:val="408353E4"/>
    <w:rsid w:val="40844CB8"/>
    <w:rsid w:val="408847A8"/>
    <w:rsid w:val="408B24EB"/>
    <w:rsid w:val="408B4349"/>
    <w:rsid w:val="408D6263"/>
    <w:rsid w:val="408E5B37"/>
    <w:rsid w:val="4090365D"/>
    <w:rsid w:val="40923879"/>
    <w:rsid w:val="40925627"/>
    <w:rsid w:val="409444EC"/>
    <w:rsid w:val="4094568C"/>
    <w:rsid w:val="409470BD"/>
    <w:rsid w:val="409749EB"/>
    <w:rsid w:val="409A0980"/>
    <w:rsid w:val="409A272E"/>
    <w:rsid w:val="409C0254"/>
    <w:rsid w:val="409C46F8"/>
    <w:rsid w:val="409D5D7A"/>
    <w:rsid w:val="409D6CDF"/>
    <w:rsid w:val="409F5F96"/>
    <w:rsid w:val="409F7D44"/>
    <w:rsid w:val="40A13ABC"/>
    <w:rsid w:val="40A2305E"/>
    <w:rsid w:val="40A84E4B"/>
    <w:rsid w:val="40A86BF9"/>
    <w:rsid w:val="40A92971"/>
    <w:rsid w:val="40AB0497"/>
    <w:rsid w:val="40AD2461"/>
    <w:rsid w:val="40AD420F"/>
    <w:rsid w:val="40B25CC9"/>
    <w:rsid w:val="40B3559D"/>
    <w:rsid w:val="40B437EF"/>
    <w:rsid w:val="40B60FC7"/>
    <w:rsid w:val="40B7508E"/>
    <w:rsid w:val="40B82174"/>
    <w:rsid w:val="40B97058"/>
    <w:rsid w:val="40BC08F6"/>
    <w:rsid w:val="40BC26A4"/>
    <w:rsid w:val="40BC6B48"/>
    <w:rsid w:val="40BD4B88"/>
    <w:rsid w:val="40BE01CA"/>
    <w:rsid w:val="40BF3F42"/>
    <w:rsid w:val="40C357E1"/>
    <w:rsid w:val="40C63523"/>
    <w:rsid w:val="40C6593D"/>
    <w:rsid w:val="40C818EC"/>
    <w:rsid w:val="40C8729B"/>
    <w:rsid w:val="40C90989"/>
    <w:rsid w:val="40C9486C"/>
    <w:rsid w:val="40CB1D5D"/>
    <w:rsid w:val="40CB28E7"/>
    <w:rsid w:val="40CD48B1"/>
    <w:rsid w:val="40CE33C2"/>
    <w:rsid w:val="40D24A15"/>
    <w:rsid w:val="40D432D1"/>
    <w:rsid w:val="40D52E0F"/>
    <w:rsid w:val="40D774DE"/>
    <w:rsid w:val="40D82ED1"/>
    <w:rsid w:val="40DA0D7C"/>
    <w:rsid w:val="40DA6FCE"/>
    <w:rsid w:val="40DB488F"/>
    <w:rsid w:val="40DC68A2"/>
    <w:rsid w:val="40DE5602"/>
    <w:rsid w:val="40DF6392"/>
    <w:rsid w:val="40E02836"/>
    <w:rsid w:val="40E1035D"/>
    <w:rsid w:val="40E35E83"/>
    <w:rsid w:val="40E439A9"/>
    <w:rsid w:val="40E66965"/>
    <w:rsid w:val="40E92D0B"/>
    <w:rsid w:val="40ED0AAF"/>
    <w:rsid w:val="40ED6D01"/>
    <w:rsid w:val="40F005A0"/>
    <w:rsid w:val="40F167F2"/>
    <w:rsid w:val="40F41E3E"/>
    <w:rsid w:val="40F63E08"/>
    <w:rsid w:val="40F717C1"/>
    <w:rsid w:val="40F7192E"/>
    <w:rsid w:val="40FA31CC"/>
    <w:rsid w:val="40FC5196"/>
    <w:rsid w:val="40FD164C"/>
    <w:rsid w:val="410020DD"/>
    <w:rsid w:val="4101356D"/>
    <w:rsid w:val="41036525"/>
    <w:rsid w:val="41043DD1"/>
    <w:rsid w:val="4105404B"/>
    <w:rsid w:val="41055DF9"/>
    <w:rsid w:val="410A713D"/>
    <w:rsid w:val="410B71F0"/>
    <w:rsid w:val="410C362B"/>
    <w:rsid w:val="410D2F00"/>
    <w:rsid w:val="410F091D"/>
    <w:rsid w:val="411416BB"/>
    <w:rsid w:val="4114603C"/>
    <w:rsid w:val="41151DB4"/>
    <w:rsid w:val="41166258"/>
    <w:rsid w:val="41173D7E"/>
    <w:rsid w:val="41175B2C"/>
    <w:rsid w:val="41195D48"/>
    <w:rsid w:val="41197AF6"/>
    <w:rsid w:val="411B561D"/>
    <w:rsid w:val="411C75E7"/>
    <w:rsid w:val="411E510D"/>
    <w:rsid w:val="411E5666"/>
    <w:rsid w:val="41230975"/>
    <w:rsid w:val="41272213"/>
    <w:rsid w:val="41281AE7"/>
    <w:rsid w:val="41281B87"/>
    <w:rsid w:val="41287D39"/>
    <w:rsid w:val="412A5860"/>
    <w:rsid w:val="412B15D8"/>
    <w:rsid w:val="412C782A"/>
    <w:rsid w:val="412F1132"/>
    <w:rsid w:val="41326E0A"/>
    <w:rsid w:val="4134048C"/>
    <w:rsid w:val="41341F6F"/>
    <w:rsid w:val="4135614B"/>
    <w:rsid w:val="41390199"/>
    <w:rsid w:val="4139769D"/>
    <w:rsid w:val="413B5CBF"/>
    <w:rsid w:val="413C419C"/>
    <w:rsid w:val="413D1A37"/>
    <w:rsid w:val="413E755D"/>
    <w:rsid w:val="413F7118"/>
    <w:rsid w:val="413F7AA0"/>
    <w:rsid w:val="41432DC5"/>
    <w:rsid w:val="41445A88"/>
    <w:rsid w:val="414601C0"/>
    <w:rsid w:val="414845C1"/>
    <w:rsid w:val="414B6979"/>
    <w:rsid w:val="414D77A0"/>
    <w:rsid w:val="414F3518"/>
    <w:rsid w:val="414F52C6"/>
    <w:rsid w:val="4151103E"/>
    <w:rsid w:val="41516138"/>
    <w:rsid w:val="41523008"/>
    <w:rsid w:val="41526B64"/>
    <w:rsid w:val="4153125A"/>
    <w:rsid w:val="41561796"/>
    <w:rsid w:val="415648A7"/>
    <w:rsid w:val="41596145"/>
    <w:rsid w:val="415A4AB8"/>
    <w:rsid w:val="415B010F"/>
    <w:rsid w:val="415B1EBD"/>
    <w:rsid w:val="415E375B"/>
    <w:rsid w:val="41605725"/>
    <w:rsid w:val="41635215"/>
    <w:rsid w:val="41670862"/>
    <w:rsid w:val="41676AB4"/>
    <w:rsid w:val="416D399E"/>
    <w:rsid w:val="41703F20"/>
    <w:rsid w:val="417116E0"/>
    <w:rsid w:val="41735459"/>
    <w:rsid w:val="41742F7F"/>
    <w:rsid w:val="41764F49"/>
    <w:rsid w:val="4177522C"/>
    <w:rsid w:val="417836A0"/>
    <w:rsid w:val="417967E7"/>
    <w:rsid w:val="417C1E33"/>
    <w:rsid w:val="417D58F7"/>
    <w:rsid w:val="417F7DC0"/>
    <w:rsid w:val="4182569C"/>
    <w:rsid w:val="41841E0A"/>
    <w:rsid w:val="41874A60"/>
    <w:rsid w:val="41894C7C"/>
    <w:rsid w:val="418A27A2"/>
    <w:rsid w:val="418A4550"/>
    <w:rsid w:val="418C02C8"/>
    <w:rsid w:val="418C1912"/>
    <w:rsid w:val="418D5DEE"/>
    <w:rsid w:val="419158DF"/>
    <w:rsid w:val="4191768D"/>
    <w:rsid w:val="41931657"/>
    <w:rsid w:val="419379BA"/>
    <w:rsid w:val="4194717D"/>
    <w:rsid w:val="41950E9A"/>
    <w:rsid w:val="41961147"/>
    <w:rsid w:val="41967399"/>
    <w:rsid w:val="41970A1B"/>
    <w:rsid w:val="419929E5"/>
    <w:rsid w:val="41994793"/>
    <w:rsid w:val="419B49AF"/>
    <w:rsid w:val="419B675D"/>
    <w:rsid w:val="419C7D39"/>
    <w:rsid w:val="41A24CB0"/>
    <w:rsid w:val="41A25D3E"/>
    <w:rsid w:val="41A30B1A"/>
    <w:rsid w:val="41A53138"/>
    <w:rsid w:val="41A57A6F"/>
    <w:rsid w:val="41A73354"/>
    <w:rsid w:val="41AA074E"/>
    <w:rsid w:val="41AC2719"/>
    <w:rsid w:val="41AD023F"/>
    <w:rsid w:val="41AE6491"/>
    <w:rsid w:val="41AF3FB7"/>
    <w:rsid w:val="41B15F81"/>
    <w:rsid w:val="41B17D2F"/>
    <w:rsid w:val="41B25855"/>
    <w:rsid w:val="41B31CF9"/>
    <w:rsid w:val="41B415CD"/>
    <w:rsid w:val="41B45A71"/>
    <w:rsid w:val="41B63597"/>
    <w:rsid w:val="41B65345"/>
    <w:rsid w:val="41B82E6B"/>
    <w:rsid w:val="41B8730F"/>
    <w:rsid w:val="41B94E35"/>
    <w:rsid w:val="41B96BE3"/>
    <w:rsid w:val="41BA3087"/>
    <w:rsid w:val="41BB295C"/>
    <w:rsid w:val="41BD2B78"/>
    <w:rsid w:val="41C23CEA"/>
    <w:rsid w:val="41C31810"/>
    <w:rsid w:val="41C35A10"/>
    <w:rsid w:val="41C45CB4"/>
    <w:rsid w:val="41C537DA"/>
    <w:rsid w:val="41C55588"/>
    <w:rsid w:val="41C77552"/>
    <w:rsid w:val="41C9151C"/>
    <w:rsid w:val="41C932CA"/>
    <w:rsid w:val="41CA2B9F"/>
    <w:rsid w:val="41CA7043"/>
    <w:rsid w:val="41CC4B69"/>
    <w:rsid w:val="41CD4447"/>
    <w:rsid w:val="41CE268F"/>
    <w:rsid w:val="41CF1EAC"/>
    <w:rsid w:val="41D028AB"/>
    <w:rsid w:val="41D37CA5"/>
    <w:rsid w:val="41D43A1D"/>
    <w:rsid w:val="41D8350E"/>
    <w:rsid w:val="41DA2351"/>
    <w:rsid w:val="41DA59C1"/>
    <w:rsid w:val="41DB4DAC"/>
    <w:rsid w:val="41DC67EC"/>
    <w:rsid w:val="41DD0EE2"/>
    <w:rsid w:val="41E06866"/>
    <w:rsid w:val="41E225DE"/>
    <w:rsid w:val="41E2613A"/>
    <w:rsid w:val="41E41EB2"/>
    <w:rsid w:val="41E45CBD"/>
    <w:rsid w:val="41E77BF5"/>
    <w:rsid w:val="41EA3241"/>
    <w:rsid w:val="41EC6E66"/>
    <w:rsid w:val="41F23423"/>
    <w:rsid w:val="41F67E38"/>
    <w:rsid w:val="41FA7928"/>
    <w:rsid w:val="41FD2F74"/>
    <w:rsid w:val="41FE425C"/>
    <w:rsid w:val="41FF6CEC"/>
    <w:rsid w:val="42010CB6"/>
    <w:rsid w:val="42022339"/>
    <w:rsid w:val="42071BEA"/>
    <w:rsid w:val="42073DF3"/>
    <w:rsid w:val="42075BA1"/>
    <w:rsid w:val="420B38E3"/>
    <w:rsid w:val="420C31B7"/>
    <w:rsid w:val="420D3C52"/>
    <w:rsid w:val="420E33D3"/>
    <w:rsid w:val="42100EF9"/>
    <w:rsid w:val="42112A00"/>
    <w:rsid w:val="42114C71"/>
    <w:rsid w:val="42127BC2"/>
    <w:rsid w:val="42132798"/>
    <w:rsid w:val="42134546"/>
    <w:rsid w:val="42162288"/>
    <w:rsid w:val="42164036"/>
    <w:rsid w:val="42176DFB"/>
    <w:rsid w:val="421A1D78"/>
    <w:rsid w:val="421A58D4"/>
    <w:rsid w:val="421C01E8"/>
    <w:rsid w:val="421D3616"/>
    <w:rsid w:val="421F113C"/>
    <w:rsid w:val="421F2EEA"/>
    <w:rsid w:val="421F738E"/>
    <w:rsid w:val="42204EB5"/>
    <w:rsid w:val="42216661"/>
    <w:rsid w:val="422229DB"/>
    <w:rsid w:val="42224789"/>
    <w:rsid w:val="42230F81"/>
    <w:rsid w:val="42242413"/>
    <w:rsid w:val="422624CB"/>
    <w:rsid w:val="42293D69"/>
    <w:rsid w:val="422C3859"/>
    <w:rsid w:val="422C5607"/>
    <w:rsid w:val="422C6789"/>
    <w:rsid w:val="422E137F"/>
    <w:rsid w:val="423050F8"/>
    <w:rsid w:val="42312C1E"/>
    <w:rsid w:val="42350960"/>
    <w:rsid w:val="42366486"/>
    <w:rsid w:val="423821FE"/>
    <w:rsid w:val="423B7208"/>
    <w:rsid w:val="423C4368"/>
    <w:rsid w:val="423D1B28"/>
    <w:rsid w:val="423D5A66"/>
    <w:rsid w:val="423F17DF"/>
    <w:rsid w:val="42402E61"/>
    <w:rsid w:val="42415557"/>
    <w:rsid w:val="42424E2B"/>
    <w:rsid w:val="42446DF5"/>
    <w:rsid w:val="42452E8B"/>
    <w:rsid w:val="424566C9"/>
    <w:rsid w:val="42462172"/>
    <w:rsid w:val="4246491B"/>
    <w:rsid w:val="42497F67"/>
    <w:rsid w:val="424A47ED"/>
    <w:rsid w:val="424B1A5D"/>
    <w:rsid w:val="424D3EFC"/>
    <w:rsid w:val="424E557E"/>
    <w:rsid w:val="425012F6"/>
    <w:rsid w:val="425132C0"/>
    <w:rsid w:val="42521512"/>
    <w:rsid w:val="4252375D"/>
    <w:rsid w:val="425270EF"/>
    <w:rsid w:val="42552DB0"/>
    <w:rsid w:val="4258464E"/>
    <w:rsid w:val="425A03C6"/>
    <w:rsid w:val="425A2175"/>
    <w:rsid w:val="425A3F23"/>
    <w:rsid w:val="425D0D05"/>
    <w:rsid w:val="425D1C65"/>
    <w:rsid w:val="425E2DCE"/>
    <w:rsid w:val="425E3E67"/>
    <w:rsid w:val="425F59DD"/>
    <w:rsid w:val="4262727B"/>
    <w:rsid w:val="42642FF3"/>
    <w:rsid w:val="42660B19"/>
    <w:rsid w:val="4269060A"/>
    <w:rsid w:val="426A3716"/>
    <w:rsid w:val="426B6130"/>
    <w:rsid w:val="426D00FA"/>
    <w:rsid w:val="426E79CE"/>
    <w:rsid w:val="42705E47"/>
    <w:rsid w:val="42721A93"/>
    <w:rsid w:val="42733236"/>
    <w:rsid w:val="42755200"/>
    <w:rsid w:val="4276494E"/>
    <w:rsid w:val="42770F78"/>
    <w:rsid w:val="42772D26"/>
    <w:rsid w:val="4278084D"/>
    <w:rsid w:val="42784CF1"/>
    <w:rsid w:val="427C033D"/>
    <w:rsid w:val="427C77E8"/>
    <w:rsid w:val="427D5E63"/>
    <w:rsid w:val="427E2307"/>
    <w:rsid w:val="42802FA7"/>
    <w:rsid w:val="42815953"/>
    <w:rsid w:val="42823479"/>
    <w:rsid w:val="42827E3F"/>
    <w:rsid w:val="42845443"/>
    <w:rsid w:val="428617AE"/>
    <w:rsid w:val="42884F34"/>
    <w:rsid w:val="42892A5A"/>
    <w:rsid w:val="428A675F"/>
    <w:rsid w:val="428C42F8"/>
    <w:rsid w:val="4290203A"/>
    <w:rsid w:val="42903DE8"/>
    <w:rsid w:val="42920CC3"/>
    <w:rsid w:val="42937435"/>
    <w:rsid w:val="42976F25"/>
    <w:rsid w:val="429B2544"/>
    <w:rsid w:val="429D02B3"/>
    <w:rsid w:val="429D6505"/>
    <w:rsid w:val="429E4757"/>
    <w:rsid w:val="429E6428"/>
    <w:rsid w:val="429F227D"/>
    <w:rsid w:val="429F402B"/>
    <w:rsid w:val="42A00A06"/>
    <w:rsid w:val="42A41642"/>
    <w:rsid w:val="42A47894"/>
    <w:rsid w:val="42A87384"/>
    <w:rsid w:val="42A930FC"/>
    <w:rsid w:val="42A94EAA"/>
    <w:rsid w:val="42AE59C8"/>
    <w:rsid w:val="42B0448A"/>
    <w:rsid w:val="42B20202"/>
    <w:rsid w:val="42B21ABA"/>
    <w:rsid w:val="42B37AD7"/>
    <w:rsid w:val="42B41EBB"/>
    <w:rsid w:val="42B51AA1"/>
    <w:rsid w:val="42B52A5A"/>
    <w:rsid w:val="42B6714C"/>
    <w:rsid w:val="42B71375"/>
    <w:rsid w:val="42B81A6C"/>
    <w:rsid w:val="42B86E9B"/>
    <w:rsid w:val="42BB66F9"/>
    <w:rsid w:val="42BC2E2F"/>
    <w:rsid w:val="42BC698B"/>
    <w:rsid w:val="42BE1986"/>
    <w:rsid w:val="42BE6BA7"/>
    <w:rsid w:val="42BF6D6E"/>
    <w:rsid w:val="42C817D4"/>
    <w:rsid w:val="42CB4E20"/>
    <w:rsid w:val="42CD2946"/>
    <w:rsid w:val="42CE1385"/>
    <w:rsid w:val="42D24401"/>
    <w:rsid w:val="42D53EF1"/>
    <w:rsid w:val="42D75573"/>
    <w:rsid w:val="42D77C69"/>
    <w:rsid w:val="42DA1507"/>
    <w:rsid w:val="42DC77DF"/>
    <w:rsid w:val="42DE0FF8"/>
    <w:rsid w:val="42DF6B1E"/>
    <w:rsid w:val="42E12896"/>
    <w:rsid w:val="42E3216A"/>
    <w:rsid w:val="42E46282"/>
    <w:rsid w:val="42E61C5A"/>
    <w:rsid w:val="42E87780"/>
    <w:rsid w:val="42EA174A"/>
    <w:rsid w:val="42ED4D97"/>
    <w:rsid w:val="42F02AD9"/>
    <w:rsid w:val="42F0679A"/>
    <w:rsid w:val="42F425C9"/>
    <w:rsid w:val="42F500EF"/>
    <w:rsid w:val="42F63408"/>
    <w:rsid w:val="42F97BDF"/>
    <w:rsid w:val="42FA336E"/>
    <w:rsid w:val="42FA74B4"/>
    <w:rsid w:val="42FC76D0"/>
    <w:rsid w:val="42FE0D52"/>
    <w:rsid w:val="42FE546C"/>
    <w:rsid w:val="42FE6FA4"/>
    <w:rsid w:val="43010842"/>
    <w:rsid w:val="43051503"/>
    <w:rsid w:val="43087E22"/>
    <w:rsid w:val="43090E53"/>
    <w:rsid w:val="43095949"/>
    <w:rsid w:val="430B346F"/>
    <w:rsid w:val="430D368B"/>
    <w:rsid w:val="430D5439"/>
    <w:rsid w:val="430F7403"/>
    <w:rsid w:val="43100A85"/>
    <w:rsid w:val="43122A4F"/>
    <w:rsid w:val="4315253F"/>
    <w:rsid w:val="43161831"/>
    <w:rsid w:val="43162488"/>
    <w:rsid w:val="43171E14"/>
    <w:rsid w:val="43193DDE"/>
    <w:rsid w:val="431A7B56"/>
    <w:rsid w:val="43210932"/>
    <w:rsid w:val="43210EE4"/>
    <w:rsid w:val="43217136"/>
    <w:rsid w:val="4324765C"/>
    <w:rsid w:val="432602A9"/>
    <w:rsid w:val="43284021"/>
    <w:rsid w:val="4328489C"/>
    <w:rsid w:val="432B1D63"/>
    <w:rsid w:val="432B321D"/>
    <w:rsid w:val="43340C18"/>
    <w:rsid w:val="433429C6"/>
    <w:rsid w:val="43361A71"/>
    <w:rsid w:val="43364990"/>
    <w:rsid w:val="43374CD4"/>
    <w:rsid w:val="433F4264"/>
    <w:rsid w:val="434150E2"/>
    <w:rsid w:val="43430E5B"/>
    <w:rsid w:val="434370AD"/>
    <w:rsid w:val="43470AA6"/>
    <w:rsid w:val="4348021F"/>
    <w:rsid w:val="43486FC5"/>
    <w:rsid w:val="43496A2C"/>
    <w:rsid w:val="434A043B"/>
    <w:rsid w:val="434F77FF"/>
    <w:rsid w:val="43503578"/>
    <w:rsid w:val="43507197"/>
    <w:rsid w:val="435412BA"/>
    <w:rsid w:val="43543068"/>
    <w:rsid w:val="4355293C"/>
    <w:rsid w:val="43560B8E"/>
    <w:rsid w:val="43562D62"/>
    <w:rsid w:val="43566DE0"/>
    <w:rsid w:val="435B2648"/>
    <w:rsid w:val="435E5C94"/>
    <w:rsid w:val="436239D7"/>
    <w:rsid w:val="43635059"/>
    <w:rsid w:val="43650DD1"/>
    <w:rsid w:val="43657023"/>
    <w:rsid w:val="436C08D2"/>
    <w:rsid w:val="436F39FE"/>
    <w:rsid w:val="437159C8"/>
    <w:rsid w:val="437244EB"/>
    <w:rsid w:val="43741014"/>
    <w:rsid w:val="43747266"/>
    <w:rsid w:val="43770B04"/>
    <w:rsid w:val="43784FA8"/>
    <w:rsid w:val="437943F5"/>
    <w:rsid w:val="4379541D"/>
    <w:rsid w:val="43803E5D"/>
    <w:rsid w:val="43825A8E"/>
    <w:rsid w:val="4383394D"/>
    <w:rsid w:val="43856765"/>
    <w:rsid w:val="438576C5"/>
    <w:rsid w:val="43866F99"/>
    <w:rsid w:val="43884ABF"/>
    <w:rsid w:val="438F40A0"/>
    <w:rsid w:val="43917E18"/>
    <w:rsid w:val="439416B6"/>
    <w:rsid w:val="43943464"/>
    <w:rsid w:val="43963680"/>
    <w:rsid w:val="439711A6"/>
    <w:rsid w:val="439873F8"/>
    <w:rsid w:val="43993170"/>
    <w:rsid w:val="43996CCD"/>
    <w:rsid w:val="439C056B"/>
    <w:rsid w:val="439E42E3"/>
    <w:rsid w:val="43A044FF"/>
    <w:rsid w:val="43A062AD"/>
    <w:rsid w:val="43A15B81"/>
    <w:rsid w:val="43A23DD3"/>
    <w:rsid w:val="43A51B15"/>
    <w:rsid w:val="43A55671"/>
    <w:rsid w:val="43A63197"/>
    <w:rsid w:val="43A720C9"/>
    <w:rsid w:val="43AA0EDA"/>
    <w:rsid w:val="43AC2EA4"/>
    <w:rsid w:val="43AD2778"/>
    <w:rsid w:val="43AF029E"/>
    <w:rsid w:val="43AF4742"/>
    <w:rsid w:val="43B03BDD"/>
    <w:rsid w:val="43B104BA"/>
    <w:rsid w:val="43B43B06"/>
    <w:rsid w:val="43BB30E7"/>
    <w:rsid w:val="43BC29BB"/>
    <w:rsid w:val="43BE6733"/>
    <w:rsid w:val="43C05449"/>
    <w:rsid w:val="43C24475"/>
    <w:rsid w:val="43C31F9B"/>
    <w:rsid w:val="43C33D49"/>
    <w:rsid w:val="43C401ED"/>
    <w:rsid w:val="43C53F70"/>
    <w:rsid w:val="43C55D14"/>
    <w:rsid w:val="43C57AC2"/>
    <w:rsid w:val="43C71A8C"/>
    <w:rsid w:val="43C7383A"/>
    <w:rsid w:val="43CA157C"/>
    <w:rsid w:val="43CD4BC8"/>
    <w:rsid w:val="43D20331"/>
    <w:rsid w:val="43D23F8D"/>
    <w:rsid w:val="43D30430"/>
    <w:rsid w:val="43D359D6"/>
    <w:rsid w:val="43D51D8C"/>
    <w:rsid w:val="43D53D21"/>
    <w:rsid w:val="43D62240"/>
    <w:rsid w:val="43D877F5"/>
    <w:rsid w:val="43D9356D"/>
    <w:rsid w:val="43DE0B83"/>
    <w:rsid w:val="43DE42AE"/>
    <w:rsid w:val="43E02B4D"/>
    <w:rsid w:val="43E048FB"/>
    <w:rsid w:val="43E22422"/>
    <w:rsid w:val="43E3619A"/>
    <w:rsid w:val="43E41D1F"/>
    <w:rsid w:val="43E51F12"/>
    <w:rsid w:val="43E53CC0"/>
    <w:rsid w:val="43E77A38"/>
    <w:rsid w:val="43E837B0"/>
    <w:rsid w:val="43E97C54"/>
    <w:rsid w:val="43EA577A"/>
    <w:rsid w:val="43EA7528"/>
    <w:rsid w:val="43EB1B46"/>
    <w:rsid w:val="43EC5F75"/>
    <w:rsid w:val="43EF0FE2"/>
    <w:rsid w:val="43F16B09"/>
    <w:rsid w:val="43F32881"/>
    <w:rsid w:val="43F3462F"/>
    <w:rsid w:val="43F565F9"/>
    <w:rsid w:val="43F6411F"/>
    <w:rsid w:val="43F65ECD"/>
    <w:rsid w:val="43F81C45"/>
    <w:rsid w:val="43F860E9"/>
    <w:rsid w:val="43F959BD"/>
    <w:rsid w:val="43FC1BD5"/>
    <w:rsid w:val="43FD36FF"/>
    <w:rsid w:val="43FE7FBC"/>
    <w:rsid w:val="44000AFA"/>
    <w:rsid w:val="44022AC4"/>
    <w:rsid w:val="44027DCD"/>
    <w:rsid w:val="440426ED"/>
    <w:rsid w:val="44044A8E"/>
    <w:rsid w:val="4404683C"/>
    <w:rsid w:val="440525B4"/>
    <w:rsid w:val="44055D98"/>
    <w:rsid w:val="44071E88"/>
    <w:rsid w:val="44077BDE"/>
    <w:rsid w:val="440A7BCA"/>
    <w:rsid w:val="440C54E6"/>
    <w:rsid w:val="440F6F8F"/>
    <w:rsid w:val="44110EBE"/>
    <w:rsid w:val="44134A1F"/>
    <w:rsid w:val="4413593C"/>
    <w:rsid w:val="44142A1C"/>
    <w:rsid w:val="441822E7"/>
    <w:rsid w:val="44184095"/>
    <w:rsid w:val="44191BBB"/>
    <w:rsid w:val="441A605F"/>
    <w:rsid w:val="441D154C"/>
    <w:rsid w:val="441D78FE"/>
    <w:rsid w:val="441E3E3F"/>
    <w:rsid w:val="44223166"/>
    <w:rsid w:val="442347E8"/>
    <w:rsid w:val="44250560"/>
    <w:rsid w:val="44254A04"/>
    <w:rsid w:val="4427252A"/>
    <w:rsid w:val="44273ACC"/>
    <w:rsid w:val="442742D8"/>
    <w:rsid w:val="442A5B49"/>
    <w:rsid w:val="442C18EF"/>
    <w:rsid w:val="442C5D93"/>
    <w:rsid w:val="442E1B0B"/>
    <w:rsid w:val="442E5667"/>
    <w:rsid w:val="442E7510"/>
    <w:rsid w:val="443239D6"/>
    <w:rsid w:val="44326EAC"/>
    <w:rsid w:val="44332C7D"/>
    <w:rsid w:val="443469F5"/>
    <w:rsid w:val="443864E5"/>
    <w:rsid w:val="443A225E"/>
    <w:rsid w:val="443B538D"/>
    <w:rsid w:val="443B5FD6"/>
    <w:rsid w:val="443E774D"/>
    <w:rsid w:val="4440539A"/>
    <w:rsid w:val="44444E8A"/>
    <w:rsid w:val="44450C02"/>
    <w:rsid w:val="444529B0"/>
    <w:rsid w:val="44486501"/>
    <w:rsid w:val="444A7FC7"/>
    <w:rsid w:val="444C01E3"/>
    <w:rsid w:val="444E5D09"/>
    <w:rsid w:val="444E7AB7"/>
    <w:rsid w:val="4453331F"/>
    <w:rsid w:val="4456696C"/>
    <w:rsid w:val="445826E4"/>
    <w:rsid w:val="445A46AE"/>
    <w:rsid w:val="445B0426"/>
    <w:rsid w:val="445C6678"/>
    <w:rsid w:val="445F1CC4"/>
    <w:rsid w:val="44613C8E"/>
    <w:rsid w:val="44625310"/>
    <w:rsid w:val="4464552C"/>
    <w:rsid w:val="446472DA"/>
    <w:rsid w:val="4467501D"/>
    <w:rsid w:val="446948F1"/>
    <w:rsid w:val="446C0638"/>
    <w:rsid w:val="446E0159"/>
    <w:rsid w:val="44705C7F"/>
    <w:rsid w:val="447500EF"/>
    <w:rsid w:val="4475773A"/>
    <w:rsid w:val="44760DBC"/>
    <w:rsid w:val="44783E9F"/>
    <w:rsid w:val="44784B34"/>
    <w:rsid w:val="447A6AFE"/>
    <w:rsid w:val="447B4624"/>
    <w:rsid w:val="447C0AC8"/>
    <w:rsid w:val="447D039C"/>
    <w:rsid w:val="447D214A"/>
    <w:rsid w:val="44804540"/>
    <w:rsid w:val="44810482"/>
    <w:rsid w:val="44863BD7"/>
    <w:rsid w:val="448654A3"/>
    <w:rsid w:val="44867251"/>
    <w:rsid w:val="4487121B"/>
    <w:rsid w:val="448750D5"/>
    <w:rsid w:val="448939E8"/>
    <w:rsid w:val="448A3C70"/>
    <w:rsid w:val="448B2315"/>
    <w:rsid w:val="448C6376"/>
    <w:rsid w:val="448E07FB"/>
    <w:rsid w:val="448E6105"/>
    <w:rsid w:val="449000D0"/>
    <w:rsid w:val="44901E7E"/>
    <w:rsid w:val="4492209A"/>
    <w:rsid w:val="44933678"/>
    <w:rsid w:val="44935E12"/>
    <w:rsid w:val="44944B08"/>
    <w:rsid w:val="449556E6"/>
    <w:rsid w:val="44957494"/>
    <w:rsid w:val="449A0F4E"/>
    <w:rsid w:val="449C5E6A"/>
    <w:rsid w:val="449F6565"/>
    <w:rsid w:val="44A1408B"/>
    <w:rsid w:val="44A27E03"/>
    <w:rsid w:val="44A43B7B"/>
    <w:rsid w:val="44A818BD"/>
    <w:rsid w:val="44A8366B"/>
    <w:rsid w:val="44AB315B"/>
    <w:rsid w:val="44AB6CB7"/>
    <w:rsid w:val="44AD0C81"/>
    <w:rsid w:val="44AE027F"/>
    <w:rsid w:val="44AE0DAA"/>
    <w:rsid w:val="44AF71F4"/>
    <w:rsid w:val="44B02520"/>
    <w:rsid w:val="44B11B7E"/>
    <w:rsid w:val="44B1539F"/>
    <w:rsid w:val="44B33DBE"/>
    <w:rsid w:val="44B518E4"/>
    <w:rsid w:val="44B55D88"/>
    <w:rsid w:val="44B615E2"/>
    <w:rsid w:val="44B71B00"/>
    <w:rsid w:val="44B85878"/>
    <w:rsid w:val="44BA15F0"/>
    <w:rsid w:val="44BA6EFA"/>
    <w:rsid w:val="44BE2DFB"/>
    <w:rsid w:val="44C1472D"/>
    <w:rsid w:val="44C24001"/>
    <w:rsid w:val="44C304A5"/>
    <w:rsid w:val="44C45FCB"/>
    <w:rsid w:val="44C71617"/>
    <w:rsid w:val="44C77869"/>
    <w:rsid w:val="44CA6317"/>
    <w:rsid w:val="44CB1108"/>
    <w:rsid w:val="44CC2378"/>
    <w:rsid w:val="44CD30D2"/>
    <w:rsid w:val="44CE0BF8"/>
    <w:rsid w:val="44CE6E4A"/>
    <w:rsid w:val="44CE74A2"/>
    <w:rsid w:val="44D02BC2"/>
    <w:rsid w:val="44D22496"/>
    <w:rsid w:val="44D37FBC"/>
    <w:rsid w:val="44D426B2"/>
    <w:rsid w:val="44D53D34"/>
    <w:rsid w:val="44D81A76"/>
    <w:rsid w:val="44D81DAB"/>
    <w:rsid w:val="44D97CC8"/>
    <w:rsid w:val="44DD0E3B"/>
    <w:rsid w:val="44DE52DF"/>
    <w:rsid w:val="44DF4BB3"/>
    <w:rsid w:val="44E04DFA"/>
    <w:rsid w:val="44E346A3"/>
    <w:rsid w:val="44E4041B"/>
    <w:rsid w:val="44E421C9"/>
    <w:rsid w:val="44E451AE"/>
    <w:rsid w:val="44E64193"/>
    <w:rsid w:val="44E65F41"/>
    <w:rsid w:val="44E87F0C"/>
    <w:rsid w:val="44EC59C0"/>
    <w:rsid w:val="44EE4DF6"/>
    <w:rsid w:val="44F05012"/>
    <w:rsid w:val="44F06DC0"/>
    <w:rsid w:val="44F63F31"/>
    <w:rsid w:val="44F87A23"/>
    <w:rsid w:val="44FA379B"/>
    <w:rsid w:val="44FA7C3F"/>
    <w:rsid w:val="44FB36BB"/>
    <w:rsid w:val="44FB5145"/>
    <w:rsid w:val="44FB6886"/>
    <w:rsid w:val="44FC5765"/>
    <w:rsid w:val="44FE16D9"/>
    <w:rsid w:val="44FF34A7"/>
    <w:rsid w:val="44FF6697"/>
    <w:rsid w:val="45034D45"/>
    <w:rsid w:val="4508235C"/>
    <w:rsid w:val="45090FCA"/>
    <w:rsid w:val="450A60D4"/>
    <w:rsid w:val="450B59A8"/>
    <w:rsid w:val="450D1720"/>
    <w:rsid w:val="451231DA"/>
    <w:rsid w:val="45124DC2"/>
    <w:rsid w:val="45140D01"/>
    <w:rsid w:val="45156827"/>
    <w:rsid w:val="451707F1"/>
    <w:rsid w:val="4518723E"/>
    <w:rsid w:val="451A208F"/>
    <w:rsid w:val="451A329F"/>
    <w:rsid w:val="451C7BB5"/>
    <w:rsid w:val="451E1B7F"/>
    <w:rsid w:val="451F1453"/>
    <w:rsid w:val="451F3201"/>
    <w:rsid w:val="45230F44"/>
    <w:rsid w:val="45237196"/>
    <w:rsid w:val="45280308"/>
    <w:rsid w:val="452901C3"/>
    <w:rsid w:val="45294080"/>
    <w:rsid w:val="452B604A"/>
    <w:rsid w:val="452D1DC2"/>
    <w:rsid w:val="452E1696"/>
    <w:rsid w:val="452F5B3A"/>
    <w:rsid w:val="45336CAD"/>
    <w:rsid w:val="45344EFF"/>
    <w:rsid w:val="45372C41"/>
    <w:rsid w:val="453749EF"/>
    <w:rsid w:val="45375398"/>
    <w:rsid w:val="453A003B"/>
    <w:rsid w:val="453B44DF"/>
    <w:rsid w:val="453E18DA"/>
    <w:rsid w:val="453E36AC"/>
    <w:rsid w:val="453E3FCF"/>
    <w:rsid w:val="453F5652"/>
    <w:rsid w:val="45433394"/>
    <w:rsid w:val="45450B59"/>
    <w:rsid w:val="454867BD"/>
    <w:rsid w:val="45486BFC"/>
    <w:rsid w:val="454959B9"/>
    <w:rsid w:val="454A4722"/>
    <w:rsid w:val="454B2ACC"/>
    <w:rsid w:val="454D5543"/>
    <w:rsid w:val="454D7D6F"/>
    <w:rsid w:val="454F1D39"/>
    <w:rsid w:val="454F3AE7"/>
    <w:rsid w:val="454F7F8B"/>
    <w:rsid w:val="4550160D"/>
    <w:rsid w:val="4550336E"/>
    <w:rsid w:val="4555317F"/>
    <w:rsid w:val="45554E75"/>
    <w:rsid w:val="4557299B"/>
    <w:rsid w:val="45576E3F"/>
    <w:rsid w:val="45596713"/>
    <w:rsid w:val="455A06DD"/>
    <w:rsid w:val="455A248C"/>
    <w:rsid w:val="455A6FF1"/>
    <w:rsid w:val="455E1F7C"/>
    <w:rsid w:val="45611A6C"/>
    <w:rsid w:val="45617CBE"/>
    <w:rsid w:val="456261E9"/>
    <w:rsid w:val="456357E4"/>
    <w:rsid w:val="456450B8"/>
    <w:rsid w:val="4565155C"/>
    <w:rsid w:val="45676F6B"/>
    <w:rsid w:val="45684BA8"/>
    <w:rsid w:val="456A6B72"/>
    <w:rsid w:val="456B6447"/>
    <w:rsid w:val="456D0411"/>
    <w:rsid w:val="456D21BF"/>
    <w:rsid w:val="456F4189"/>
    <w:rsid w:val="456F5F37"/>
    <w:rsid w:val="4570065B"/>
    <w:rsid w:val="45700B7C"/>
    <w:rsid w:val="457050EE"/>
    <w:rsid w:val="457479F1"/>
    <w:rsid w:val="457572C5"/>
    <w:rsid w:val="45763769"/>
    <w:rsid w:val="45765517"/>
    <w:rsid w:val="45790B64"/>
    <w:rsid w:val="45795008"/>
    <w:rsid w:val="457A48DC"/>
    <w:rsid w:val="457C4AF8"/>
    <w:rsid w:val="457C68A6"/>
    <w:rsid w:val="457D238B"/>
    <w:rsid w:val="457E617A"/>
    <w:rsid w:val="457F2918"/>
    <w:rsid w:val="45800144"/>
    <w:rsid w:val="45813EBC"/>
    <w:rsid w:val="45824D6D"/>
    <w:rsid w:val="45833790"/>
    <w:rsid w:val="45857508"/>
    <w:rsid w:val="4588349D"/>
    <w:rsid w:val="4588524B"/>
    <w:rsid w:val="458C2FAA"/>
    <w:rsid w:val="458C4D3B"/>
    <w:rsid w:val="458D460F"/>
    <w:rsid w:val="458F3906"/>
    <w:rsid w:val="458F46CB"/>
    <w:rsid w:val="459040FF"/>
    <w:rsid w:val="45912351"/>
    <w:rsid w:val="45927E77"/>
    <w:rsid w:val="45950DD3"/>
    <w:rsid w:val="459751AB"/>
    <w:rsid w:val="45997458"/>
    <w:rsid w:val="459B31D0"/>
    <w:rsid w:val="459C4852"/>
    <w:rsid w:val="45A04342"/>
    <w:rsid w:val="45A1630C"/>
    <w:rsid w:val="45A32084"/>
    <w:rsid w:val="45A33E32"/>
    <w:rsid w:val="45A35BE1"/>
    <w:rsid w:val="45A50107"/>
    <w:rsid w:val="45A51959"/>
    <w:rsid w:val="45A81449"/>
    <w:rsid w:val="45A831F7"/>
    <w:rsid w:val="45A858ED"/>
    <w:rsid w:val="45AC0F39"/>
    <w:rsid w:val="45AD2F03"/>
    <w:rsid w:val="45AE3109"/>
    <w:rsid w:val="45AF4585"/>
    <w:rsid w:val="45B20519"/>
    <w:rsid w:val="45B222C8"/>
    <w:rsid w:val="45B24076"/>
    <w:rsid w:val="45B7168C"/>
    <w:rsid w:val="45B85B30"/>
    <w:rsid w:val="45B95404"/>
    <w:rsid w:val="45BA0E9D"/>
    <w:rsid w:val="45BC4EF4"/>
    <w:rsid w:val="45BD781E"/>
    <w:rsid w:val="45C049E4"/>
    <w:rsid w:val="45C1250B"/>
    <w:rsid w:val="45C2075D"/>
    <w:rsid w:val="45C5006A"/>
    <w:rsid w:val="45C5024D"/>
    <w:rsid w:val="45C63752"/>
    <w:rsid w:val="45C83899"/>
    <w:rsid w:val="45C97502"/>
    <w:rsid w:val="45CA0992"/>
    <w:rsid w:val="45CA13BF"/>
    <w:rsid w:val="45CC5137"/>
    <w:rsid w:val="45CC5E83"/>
    <w:rsid w:val="45D037DC"/>
    <w:rsid w:val="45D05C94"/>
    <w:rsid w:val="45D40490"/>
    <w:rsid w:val="45D44615"/>
    <w:rsid w:val="45D466E2"/>
    <w:rsid w:val="45D65FB6"/>
    <w:rsid w:val="45D73ADC"/>
    <w:rsid w:val="45D95AA6"/>
    <w:rsid w:val="45D97B03"/>
    <w:rsid w:val="45DB35CC"/>
    <w:rsid w:val="45DE30BD"/>
    <w:rsid w:val="45E2495B"/>
    <w:rsid w:val="45E748CA"/>
    <w:rsid w:val="45E85CE9"/>
    <w:rsid w:val="45E87A97"/>
    <w:rsid w:val="45EA3344"/>
    <w:rsid w:val="45EA380F"/>
    <w:rsid w:val="45EE77A4"/>
    <w:rsid w:val="45EF121D"/>
    <w:rsid w:val="45EF7078"/>
    <w:rsid w:val="45F02CCE"/>
    <w:rsid w:val="45F0744B"/>
    <w:rsid w:val="45F34DBA"/>
    <w:rsid w:val="45F4643C"/>
    <w:rsid w:val="45F621B4"/>
    <w:rsid w:val="45F8417E"/>
    <w:rsid w:val="45FB77CB"/>
    <w:rsid w:val="45FC3821"/>
    <w:rsid w:val="45FD1795"/>
    <w:rsid w:val="45FE72BB"/>
    <w:rsid w:val="45FF375F"/>
    <w:rsid w:val="46020B59"/>
    <w:rsid w:val="46032B23"/>
    <w:rsid w:val="460348D1"/>
    <w:rsid w:val="46040D75"/>
    <w:rsid w:val="46043BEC"/>
    <w:rsid w:val="46080139"/>
    <w:rsid w:val="46081EE8"/>
    <w:rsid w:val="460A3EB2"/>
    <w:rsid w:val="460D74FE"/>
    <w:rsid w:val="46130905"/>
    <w:rsid w:val="46145FC1"/>
    <w:rsid w:val="46195EA3"/>
    <w:rsid w:val="461A0599"/>
    <w:rsid w:val="461B4910"/>
    <w:rsid w:val="461B7E6D"/>
    <w:rsid w:val="461E47A9"/>
    <w:rsid w:val="461E53A0"/>
    <w:rsid w:val="461F3847"/>
    <w:rsid w:val="461F5BAF"/>
    <w:rsid w:val="461F6BBA"/>
    <w:rsid w:val="46214A5A"/>
    <w:rsid w:val="46236D21"/>
    <w:rsid w:val="46244F73"/>
    <w:rsid w:val="46252A2C"/>
    <w:rsid w:val="462705C0"/>
    <w:rsid w:val="46276812"/>
    <w:rsid w:val="462821D9"/>
    <w:rsid w:val="46284338"/>
    <w:rsid w:val="462A00B0"/>
    <w:rsid w:val="462A4554"/>
    <w:rsid w:val="462B7D2E"/>
    <w:rsid w:val="462C02CC"/>
    <w:rsid w:val="462C3E28"/>
    <w:rsid w:val="462E521F"/>
    <w:rsid w:val="462F1C33"/>
    <w:rsid w:val="46366A55"/>
    <w:rsid w:val="463A0AA6"/>
    <w:rsid w:val="463B050F"/>
    <w:rsid w:val="463B406B"/>
    <w:rsid w:val="463B7823"/>
    <w:rsid w:val="463D7DE3"/>
    <w:rsid w:val="463F1DAD"/>
    <w:rsid w:val="463F7FFF"/>
    <w:rsid w:val="464253F9"/>
    <w:rsid w:val="46454EEA"/>
    <w:rsid w:val="46470C62"/>
    <w:rsid w:val="46475DC6"/>
    <w:rsid w:val="46476EB4"/>
    <w:rsid w:val="464822E6"/>
    <w:rsid w:val="46492C2C"/>
    <w:rsid w:val="464A0752"/>
    <w:rsid w:val="464A2500"/>
    <w:rsid w:val="464A534D"/>
    <w:rsid w:val="464E3D9E"/>
    <w:rsid w:val="464F1BEA"/>
    <w:rsid w:val="464F7B16"/>
    <w:rsid w:val="46503FBA"/>
    <w:rsid w:val="46517D32"/>
    <w:rsid w:val="46535859"/>
    <w:rsid w:val="4654512D"/>
    <w:rsid w:val="46565349"/>
    <w:rsid w:val="46592743"/>
    <w:rsid w:val="465A0995"/>
    <w:rsid w:val="465A6BE7"/>
    <w:rsid w:val="465C029D"/>
    <w:rsid w:val="465E7D59"/>
    <w:rsid w:val="46647A66"/>
    <w:rsid w:val="46672E81"/>
    <w:rsid w:val="46696E2A"/>
    <w:rsid w:val="466B2BA2"/>
    <w:rsid w:val="46715CDF"/>
    <w:rsid w:val="46731A57"/>
    <w:rsid w:val="467557CF"/>
    <w:rsid w:val="46761547"/>
    <w:rsid w:val="467632F5"/>
    <w:rsid w:val="46767799"/>
    <w:rsid w:val="46780E1B"/>
    <w:rsid w:val="467B6B5D"/>
    <w:rsid w:val="467D28D5"/>
    <w:rsid w:val="46806A08"/>
    <w:rsid w:val="468477C0"/>
    <w:rsid w:val="46863258"/>
    <w:rsid w:val="46894BC7"/>
    <w:rsid w:val="468974CC"/>
    <w:rsid w:val="468E063F"/>
    <w:rsid w:val="4690085B"/>
    <w:rsid w:val="46902609"/>
    <w:rsid w:val="46916381"/>
    <w:rsid w:val="46933EA7"/>
    <w:rsid w:val="46936EA4"/>
    <w:rsid w:val="46957C1F"/>
    <w:rsid w:val="46963997"/>
    <w:rsid w:val="46971BE9"/>
    <w:rsid w:val="46976927"/>
    <w:rsid w:val="4699566E"/>
    <w:rsid w:val="469A5235"/>
    <w:rsid w:val="469B2D5C"/>
    <w:rsid w:val="469C7200"/>
    <w:rsid w:val="469D6BC0"/>
    <w:rsid w:val="469E7080"/>
    <w:rsid w:val="469F45FA"/>
    <w:rsid w:val="46A14816"/>
    <w:rsid w:val="46A61E2C"/>
    <w:rsid w:val="46A86BFA"/>
    <w:rsid w:val="46AC4F69"/>
    <w:rsid w:val="46AC5AA6"/>
    <w:rsid w:val="46AE6F33"/>
    <w:rsid w:val="46AE7B45"/>
    <w:rsid w:val="46AF05B5"/>
    <w:rsid w:val="46AF1059"/>
    <w:rsid w:val="46B04A59"/>
    <w:rsid w:val="46B1257F"/>
    <w:rsid w:val="46B300A5"/>
    <w:rsid w:val="46B502C1"/>
    <w:rsid w:val="46B81B60"/>
    <w:rsid w:val="46BA0199"/>
    <w:rsid w:val="46BA1434"/>
    <w:rsid w:val="46BA7686"/>
    <w:rsid w:val="46BC33FE"/>
    <w:rsid w:val="46BF4C9C"/>
    <w:rsid w:val="46C027C2"/>
    <w:rsid w:val="46C155A5"/>
    <w:rsid w:val="46C2478C"/>
    <w:rsid w:val="46C329DE"/>
    <w:rsid w:val="46C73B51"/>
    <w:rsid w:val="46C77B51"/>
    <w:rsid w:val="46C978C9"/>
    <w:rsid w:val="46CC1167"/>
    <w:rsid w:val="46CD198D"/>
    <w:rsid w:val="46CE59EE"/>
    <w:rsid w:val="46CF6E7E"/>
    <w:rsid w:val="46D46E6B"/>
    <w:rsid w:val="46D544C0"/>
    <w:rsid w:val="46D85D5E"/>
    <w:rsid w:val="46DA1AD6"/>
    <w:rsid w:val="46DB2D69"/>
    <w:rsid w:val="46DD3374"/>
    <w:rsid w:val="46DD5122"/>
    <w:rsid w:val="46DF0E9A"/>
    <w:rsid w:val="46DF70EC"/>
    <w:rsid w:val="46E12E64"/>
    <w:rsid w:val="46E62229"/>
    <w:rsid w:val="46E81166"/>
    <w:rsid w:val="46E841F3"/>
    <w:rsid w:val="46EB3CE3"/>
    <w:rsid w:val="46EC35B7"/>
    <w:rsid w:val="46EE5581"/>
    <w:rsid w:val="46EE732F"/>
    <w:rsid w:val="46F104F7"/>
    <w:rsid w:val="46F10D88"/>
    <w:rsid w:val="46F30DEA"/>
    <w:rsid w:val="46F506BE"/>
    <w:rsid w:val="46F56910"/>
    <w:rsid w:val="46F661E4"/>
    <w:rsid w:val="46FC1A4C"/>
    <w:rsid w:val="46FF32EA"/>
    <w:rsid w:val="46FF7608"/>
    <w:rsid w:val="470073ED"/>
    <w:rsid w:val="4701087D"/>
    <w:rsid w:val="470152B5"/>
    <w:rsid w:val="47022DDB"/>
    <w:rsid w:val="4703102D"/>
    <w:rsid w:val="470923BB"/>
    <w:rsid w:val="470C5990"/>
    <w:rsid w:val="470D3C59"/>
    <w:rsid w:val="470E79D1"/>
    <w:rsid w:val="4714323A"/>
    <w:rsid w:val="47150D60"/>
    <w:rsid w:val="47161613"/>
    <w:rsid w:val="47166AD5"/>
    <w:rsid w:val="4718206C"/>
    <w:rsid w:val="471843AC"/>
    <w:rsid w:val="47190850"/>
    <w:rsid w:val="471A1ED2"/>
    <w:rsid w:val="471A6376"/>
    <w:rsid w:val="471C20EE"/>
    <w:rsid w:val="471D14BA"/>
    <w:rsid w:val="471E2976"/>
    <w:rsid w:val="471F3E06"/>
    <w:rsid w:val="471F5F78"/>
    <w:rsid w:val="4725528A"/>
    <w:rsid w:val="47256C62"/>
    <w:rsid w:val="47262F6D"/>
    <w:rsid w:val="47282841"/>
    <w:rsid w:val="472D42FC"/>
    <w:rsid w:val="472E597E"/>
    <w:rsid w:val="472F4720"/>
    <w:rsid w:val="47305B9A"/>
    <w:rsid w:val="473232CF"/>
    <w:rsid w:val="4733065F"/>
    <w:rsid w:val="47330D5C"/>
    <w:rsid w:val="47347438"/>
    <w:rsid w:val="4735145E"/>
    <w:rsid w:val="47392CA0"/>
    <w:rsid w:val="473A07C7"/>
    <w:rsid w:val="473A4323"/>
    <w:rsid w:val="473B4A6F"/>
    <w:rsid w:val="473C453F"/>
    <w:rsid w:val="47411B55"/>
    <w:rsid w:val="474156B1"/>
    <w:rsid w:val="47424128"/>
    <w:rsid w:val="474358CD"/>
    <w:rsid w:val="47462CC7"/>
    <w:rsid w:val="474653BD"/>
    <w:rsid w:val="4746716B"/>
    <w:rsid w:val="47482EE3"/>
    <w:rsid w:val="47484E32"/>
    <w:rsid w:val="47486A40"/>
    <w:rsid w:val="47490A0A"/>
    <w:rsid w:val="474927B8"/>
    <w:rsid w:val="474D22A8"/>
    <w:rsid w:val="474D4056"/>
    <w:rsid w:val="474E7DCE"/>
    <w:rsid w:val="47503B46"/>
    <w:rsid w:val="47530F1F"/>
    <w:rsid w:val="475353E4"/>
    <w:rsid w:val="47543636"/>
    <w:rsid w:val="475573AE"/>
    <w:rsid w:val="47574ED5"/>
    <w:rsid w:val="475A6773"/>
    <w:rsid w:val="475B6938"/>
    <w:rsid w:val="475C24EB"/>
    <w:rsid w:val="475D1A18"/>
    <w:rsid w:val="475E2707"/>
    <w:rsid w:val="475E5238"/>
    <w:rsid w:val="475F1FDB"/>
    <w:rsid w:val="476060E7"/>
    <w:rsid w:val="4760647F"/>
    <w:rsid w:val="47633879"/>
    <w:rsid w:val="476364D9"/>
    <w:rsid w:val="47652830"/>
    <w:rsid w:val="47655843"/>
    <w:rsid w:val="476561F7"/>
    <w:rsid w:val="47666D96"/>
    <w:rsid w:val="47694C08"/>
    <w:rsid w:val="476D46F8"/>
    <w:rsid w:val="476F03A3"/>
    <w:rsid w:val="476F0470"/>
    <w:rsid w:val="476F66C2"/>
    <w:rsid w:val="4770221E"/>
    <w:rsid w:val="47705F96"/>
    <w:rsid w:val="477438CC"/>
    <w:rsid w:val="477535AD"/>
    <w:rsid w:val="47777325"/>
    <w:rsid w:val="47794FBF"/>
    <w:rsid w:val="477A6E15"/>
    <w:rsid w:val="477B5067"/>
    <w:rsid w:val="477C2B8D"/>
    <w:rsid w:val="477D7E68"/>
    <w:rsid w:val="477F7142"/>
    <w:rsid w:val="4780267D"/>
    <w:rsid w:val="47811F51"/>
    <w:rsid w:val="47841A42"/>
    <w:rsid w:val="478A34FC"/>
    <w:rsid w:val="478B0022"/>
    <w:rsid w:val="478E377E"/>
    <w:rsid w:val="478E44F5"/>
    <w:rsid w:val="47936A47"/>
    <w:rsid w:val="479559FD"/>
    <w:rsid w:val="47961EA1"/>
    <w:rsid w:val="4799373F"/>
    <w:rsid w:val="4799729B"/>
    <w:rsid w:val="479E6FA7"/>
    <w:rsid w:val="479F062A"/>
    <w:rsid w:val="47A345BE"/>
    <w:rsid w:val="47A82020"/>
    <w:rsid w:val="47A85730"/>
    <w:rsid w:val="47AA5523"/>
    <w:rsid w:val="47AD71EA"/>
    <w:rsid w:val="47AF4D11"/>
    <w:rsid w:val="47B16CDB"/>
    <w:rsid w:val="47B20B3C"/>
    <w:rsid w:val="47B237FC"/>
    <w:rsid w:val="47B61C55"/>
    <w:rsid w:val="47B642F1"/>
    <w:rsid w:val="47B70069"/>
    <w:rsid w:val="47B71E17"/>
    <w:rsid w:val="47B73BC5"/>
    <w:rsid w:val="47B75973"/>
    <w:rsid w:val="47BB1907"/>
    <w:rsid w:val="47BC742D"/>
    <w:rsid w:val="47BE31A6"/>
    <w:rsid w:val="47BE6D02"/>
    <w:rsid w:val="47C02A7A"/>
    <w:rsid w:val="47C42C03"/>
    <w:rsid w:val="47C50090"/>
    <w:rsid w:val="47C6205A"/>
    <w:rsid w:val="47C63E08"/>
    <w:rsid w:val="47C66525"/>
    <w:rsid w:val="47CD163B"/>
    <w:rsid w:val="47D14C87"/>
    <w:rsid w:val="47D25BD3"/>
    <w:rsid w:val="47D26C51"/>
    <w:rsid w:val="47D32A4A"/>
    <w:rsid w:val="47D429C9"/>
    <w:rsid w:val="47D46525"/>
    <w:rsid w:val="47D6229D"/>
    <w:rsid w:val="47DB78B4"/>
    <w:rsid w:val="47DC362C"/>
    <w:rsid w:val="47DE55F6"/>
    <w:rsid w:val="47E0136E"/>
    <w:rsid w:val="47E23E77"/>
    <w:rsid w:val="47E250E6"/>
    <w:rsid w:val="47E726FC"/>
    <w:rsid w:val="47E80223"/>
    <w:rsid w:val="47E81FD1"/>
    <w:rsid w:val="47E95008"/>
    <w:rsid w:val="47E97841"/>
    <w:rsid w:val="47EB386F"/>
    <w:rsid w:val="47ED5839"/>
    <w:rsid w:val="47ED75E7"/>
    <w:rsid w:val="47EF3A41"/>
    <w:rsid w:val="47F16027"/>
    <w:rsid w:val="47F27463"/>
    <w:rsid w:val="47F70466"/>
    <w:rsid w:val="47F72214"/>
    <w:rsid w:val="47F84B91"/>
    <w:rsid w:val="47F87820"/>
    <w:rsid w:val="47F92D32"/>
    <w:rsid w:val="47FA337C"/>
    <w:rsid w:val="47FB61A8"/>
    <w:rsid w:val="47FC782A"/>
    <w:rsid w:val="47FE7A46"/>
    <w:rsid w:val="48006E83"/>
    <w:rsid w:val="48007F0A"/>
    <w:rsid w:val="48010AA9"/>
    <w:rsid w:val="480239B3"/>
    <w:rsid w:val="48027536"/>
    <w:rsid w:val="48052B82"/>
    <w:rsid w:val="48052D08"/>
    <w:rsid w:val="48074B4D"/>
    <w:rsid w:val="480768FB"/>
    <w:rsid w:val="48082673"/>
    <w:rsid w:val="480A0199"/>
    <w:rsid w:val="480A0F73"/>
    <w:rsid w:val="480C5CBF"/>
    <w:rsid w:val="481132D5"/>
    <w:rsid w:val="481334F1"/>
    <w:rsid w:val="48141018"/>
    <w:rsid w:val="48147269"/>
    <w:rsid w:val="48166B3E"/>
    <w:rsid w:val="481728B6"/>
    <w:rsid w:val="48181D3F"/>
    <w:rsid w:val="481951DF"/>
    <w:rsid w:val="481A3A9E"/>
    <w:rsid w:val="481B4154"/>
    <w:rsid w:val="481C5974"/>
    <w:rsid w:val="481D611E"/>
    <w:rsid w:val="481E1E96"/>
    <w:rsid w:val="48205C0E"/>
    <w:rsid w:val="48217291"/>
    <w:rsid w:val="482379D2"/>
    <w:rsid w:val="48253225"/>
    <w:rsid w:val="48266353"/>
    <w:rsid w:val="482B7A7B"/>
    <w:rsid w:val="482E4AE5"/>
    <w:rsid w:val="482F19AD"/>
    <w:rsid w:val="48311BC9"/>
    <w:rsid w:val="48315726"/>
    <w:rsid w:val="483250ED"/>
    <w:rsid w:val="483506A6"/>
    <w:rsid w:val="48364707"/>
    <w:rsid w:val="4839282C"/>
    <w:rsid w:val="48396CD0"/>
    <w:rsid w:val="483B2A48"/>
    <w:rsid w:val="483B65A4"/>
    <w:rsid w:val="483E6094"/>
    <w:rsid w:val="484511D1"/>
    <w:rsid w:val="4846755A"/>
    <w:rsid w:val="48480CC1"/>
    <w:rsid w:val="484A400D"/>
    <w:rsid w:val="484A4A39"/>
    <w:rsid w:val="484B78FD"/>
    <w:rsid w:val="484D0086"/>
    <w:rsid w:val="485052AE"/>
    <w:rsid w:val="48517B76"/>
    <w:rsid w:val="485338EE"/>
    <w:rsid w:val="48546800"/>
    <w:rsid w:val="4855757D"/>
    <w:rsid w:val="4856518C"/>
    <w:rsid w:val="48594C7C"/>
    <w:rsid w:val="485A1120"/>
    <w:rsid w:val="485B09F4"/>
    <w:rsid w:val="485D476D"/>
    <w:rsid w:val="485F6737"/>
    <w:rsid w:val="48621D83"/>
    <w:rsid w:val="48623B31"/>
    <w:rsid w:val="486378A9"/>
    <w:rsid w:val="48643D4D"/>
    <w:rsid w:val="48653621"/>
    <w:rsid w:val="48671147"/>
    <w:rsid w:val="48677399"/>
    <w:rsid w:val="48691363"/>
    <w:rsid w:val="486A6E89"/>
    <w:rsid w:val="486E0728"/>
    <w:rsid w:val="487116B3"/>
    <w:rsid w:val="4871646A"/>
    <w:rsid w:val="48733F90"/>
    <w:rsid w:val="487344BE"/>
    <w:rsid w:val="48757D08"/>
    <w:rsid w:val="48767E8F"/>
    <w:rsid w:val="487B1097"/>
    <w:rsid w:val="487B2E45"/>
    <w:rsid w:val="487E46E3"/>
    <w:rsid w:val="48827784"/>
    <w:rsid w:val="4884419E"/>
    <w:rsid w:val="4884619D"/>
    <w:rsid w:val="48883652"/>
    <w:rsid w:val="488A3088"/>
    <w:rsid w:val="488C32A4"/>
    <w:rsid w:val="488C3610"/>
    <w:rsid w:val="488E2B78"/>
    <w:rsid w:val="488E4926"/>
    <w:rsid w:val="48914416"/>
    <w:rsid w:val="48917477"/>
    <w:rsid w:val="48931F3C"/>
    <w:rsid w:val="489363E0"/>
    <w:rsid w:val="48961A2D"/>
    <w:rsid w:val="48981C49"/>
    <w:rsid w:val="489C351F"/>
    <w:rsid w:val="489C38B5"/>
    <w:rsid w:val="489D100D"/>
    <w:rsid w:val="489D2DBB"/>
    <w:rsid w:val="489F2FD7"/>
    <w:rsid w:val="48A4239B"/>
    <w:rsid w:val="48A57EC2"/>
    <w:rsid w:val="48A64365"/>
    <w:rsid w:val="48A73C3A"/>
    <w:rsid w:val="48A759E8"/>
    <w:rsid w:val="48A80127"/>
    <w:rsid w:val="48AA5EB9"/>
    <w:rsid w:val="48AC2FFE"/>
    <w:rsid w:val="48AC4726"/>
    <w:rsid w:val="48AE4FC8"/>
    <w:rsid w:val="48B12D0A"/>
    <w:rsid w:val="48B25926"/>
    <w:rsid w:val="48B40105"/>
    <w:rsid w:val="48B545A9"/>
    <w:rsid w:val="48B667B4"/>
    <w:rsid w:val="48B93527"/>
    <w:rsid w:val="48BB76E5"/>
    <w:rsid w:val="48BD345D"/>
    <w:rsid w:val="48BE0C93"/>
    <w:rsid w:val="48BF0F83"/>
    <w:rsid w:val="48BF5427"/>
    <w:rsid w:val="48BF71D5"/>
    <w:rsid w:val="48BF7A7B"/>
    <w:rsid w:val="48C04CFB"/>
    <w:rsid w:val="48C42A3E"/>
    <w:rsid w:val="48C447EC"/>
    <w:rsid w:val="48C7608A"/>
    <w:rsid w:val="48CC36A0"/>
    <w:rsid w:val="48D013E2"/>
    <w:rsid w:val="48D03190"/>
    <w:rsid w:val="48D10CB7"/>
    <w:rsid w:val="48D11AB6"/>
    <w:rsid w:val="48D367DD"/>
    <w:rsid w:val="48D82045"/>
    <w:rsid w:val="48D93A13"/>
    <w:rsid w:val="48DA400F"/>
    <w:rsid w:val="48DB1B35"/>
    <w:rsid w:val="48DD58AD"/>
    <w:rsid w:val="48DD765B"/>
    <w:rsid w:val="48DF33D4"/>
    <w:rsid w:val="48E5096A"/>
    <w:rsid w:val="48E704DA"/>
    <w:rsid w:val="48E72288"/>
    <w:rsid w:val="48E924A4"/>
    <w:rsid w:val="48E938EC"/>
    <w:rsid w:val="48E94252"/>
    <w:rsid w:val="48EB3628"/>
    <w:rsid w:val="48EB47DC"/>
    <w:rsid w:val="48EB7FCA"/>
    <w:rsid w:val="48F00ECF"/>
    <w:rsid w:val="48F0738F"/>
    <w:rsid w:val="48F21359"/>
    <w:rsid w:val="48F2260D"/>
    <w:rsid w:val="48F50E49"/>
    <w:rsid w:val="48F77F3D"/>
    <w:rsid w:val="48FA1FBB"/>
    <w:rsid w:val="48FB0953"/>
    <w:rsid w:val="48FC3F85"/>
    <w:rsid w:val="48FF3FE4"/>
    <w:rsid w:val="49001A2F"/>
    <w:rsid w:val="4900334A"/>
    <w:rsid w:val="490049BE"/>
    <w:rsid w:val="4901159C"/>
    <w:rsid w:val="490177EE"/>
    <w:rsid w:val="490270C2"/>
    <w:rsid w:val="49042E3A"/>
    <w:rsid w:val="49060960"/>
    <w:rsid w:val="49064E04"/>
    <w:rsid w:val="490746D8"/>
    <w:rsid w:val="49080B7C"/>
    <w:rsid w:val="490C7F41"/>
    <w:rsid w:val="490E1F0B"/>
    <w:rsid w:val="490E3CB9"/>
    <w:rsid w:val="491017DF"/>
    <w:rsid w:val="491237A9"/>
    <w:rsid w:val="491312CF"/>
    <w:rsid w:val="49153299"/>
    <w:rsid w:val="49155047"/>
    <w:rsid w:val="49156DF5"/>
    <w:rsid w:val="491646DC"/>
    <w:rsid w:val="49166DC3"/>
    <w:rsid w:val="49177011"/>
    <w:rsid w:val="49192A4C"/>
    <w:rsid w:val="491C63D6"/>
    <w:rsid w:val="491D3EFC"/>
    <w:rsid w:val="491D766A"/>
    <w:rsid w:val="491E223B"/>
    <w:rsid w:val="491E7603"/>
    <w:rsid w:val="49211C3E"/>
    <w:rsid w:val="4921579A"/>
    <w:rsid w:val="4922747B"/>
    <w:rsid w:val="492359B6"/>
    <w:rsid w:val="49260D69"/>
    <w:rsid w:val="49261002"/>
    <w:rsid w:val="49276B29"/>
    <w:rsid w:val="49284D7B"/>
    <w:rsid w:val="492928A1"/>
    <w:rsid w:val="49296D45"/>
    <w:rsid w:val="492B1C6E"/>
    <w:rsid w:val="492E7EB7"/>
    <w:rsid w:val="492F6EEB"/>
    <w:rsid w:val="49301E81"/>
    <w:rsid w:val="49302DA0"/>
    <w:rsid w:val="49304756"/>
    <w:rsid w:val="493059DD"/>
    <w:rsid w:val="493279A7"/>
    <w:rsid w:val="4933371F"/>
    <w:rsid w:val="493629C7"/>
    <w:rsid w:val="493A4AAE"/>
    <w:rsid w:val="493D00FA"/>
    <w:rsid w:val="493F20C4"/>
    <w:rsid w:val="49415E3C"/>
    <w:rsid w:val="49417BEA"/>
    <w:rsid w:val="49463453"/>
    <w:rsid w:val="494871CB"/>
    <w:rsid w:val="49492F43"/>
    <w:rsid w:val="4949644B"/>
    <w:rsid w:val="49496A9F"/>
    <w:rsid w:val="494D47E1"/>
    <w:rsid w:val="49507E2D"/>
    <w:rsid w:val="495426F7"/>
    <w:rsid w:val="495518E8"/>
    <w:rsid w:val="49553696"/>
    <w:rsid w:val="49557B3A"/>
    <w:rsid w:val="495913D8"/>
    <w:rsid w:val="495C15F9"/>
    <w:rsid w:val="495C4A24"/>
    <w:rsid w:val="495E25EB"/>
    <w:rsid w:val="4960336B"/>
    <w:rsid w:val="4961028C"/>
    <w:rsid w:val="49634005"/>
    <w:rsid w:val="496B110B"/>
    <w:rsid w:val="496B4C67"/>
    <w:rsid w:val="496D6C31"/>
    <w:rsid w:val="49724248"/>
    <w:rsid w:val="49731D6E"/>
    <w:rsid w:val="49740948"/>
    <w:rsid w:val="49777AB0"/>
    <w:rsid w:val="49781705"/>
    <w:rsid w:val="497955D6"/>
    <w:rsid w:val="497A75A0"/>
    <w:rsid w:val="497C50C6"/>
    <w:rsid w:val="497D29A6"/>
    <w:rsid w:val="497E5577"/>
    <w:rsid w:val="49807E97"/>
    <w:rsid w:val="4981448B"/>
    <w:rsid w:val="49830203"/>
    <w:rsid w:val="498502AC"/>
    <w:rsid w:val="49867CF3"/>
    <w:rsid w:val="49883A6B"/>
    <w:rsid w:val="49885819"/>
    <w:rsid w:val="498875C7"/>
    <w:rsid w:val="49891591"/>
    <w:rsid w:val="498A77E3"/>
    <w:rsid w:val="498C7B7B"/>
    <w:rsid w:val="498D72D3"/>
    <w:rsid w:val="498E0956"/>
    <w:rsid w:val="49902920"/>
    <w:rsid w:val="49935F6C"/>
    <w:rsid w:val="49970B50"/>
    <w:rsid w:val="49971F00"/>
    <w:rsid w:val="49975A5C"/>
    <w:rsid w:val="4997611E"/>
    <w:rsid w:val="4998062F"/>
    <w:rsid w:val="49980CEF"/>
    <w:rsid w:val="499917D4"/>
    <w:rsid w:val="49997A26"/>
    <w:rsid w:val="499E328F"/>
    <w:rsid w:val="499F5FF1"/>
    <w:rsid w:val="49A00BAD"/>
    <w:rsid w:val="49A07481"/>
    <w:rsid w:val="49A14B2D"/>
    <w:rsid w:val="49A30E7F"/>
    <w:rsid w:val="49A40179"/>
    <w:rsid w:val="49A47292"/>
    <w:rsid w:val="49A870A3"/>
    <w:rsid w:val="49A87C69"/>
    <w:rsid w:val="49AA39E1"/>
    <w:rsid w:val="49AB775A"/>
    <w:rsid w:val="49AD1724"/>
    <w:rsid w:val="49AD34D2"/>
    <w:rsid w:val="49B06B1E"/>
    <w:rsid w:val="49B26BE7"/>
    <w:rsid w:val="49B74350"/>
    <w:rsid w:val="49B760FE"/>
    <w:rsid w:val="49B93C25"/>
    <w:rsid w:val="49BB2948"/>
    <w:rsid w:val="49BB5BEF"/>
    <w:rsid w:val="49BC1967"/>
    <w:rsid w:val="49BC3715"/>
    <w:rsid w:val="49BC592B"/>
    <w:rsid w:val="49BE7E39"/>
    <w:rsid w:val="49C03205"/>
    <w:rsid w:val="49C115B4"/>
    <w:rsid w:val="49C12AD9"/>
    <w:rsid w:val="49C16F7D"/>
    <w:rsid w:val="49C32CF5"/>
    <w:rsid w:val="49C37C11"/>
    <w:rsid w:val="49C5081B"/>
    <w:rsid w:val="49C600F0"/>
    <w:rsid w:val="49C64593"/>
    <w:rsid w:val="49CA0FAD"/>
    <w:rsid w:val="49CB3958"/>
    <w:rsid w:val="49CE24FF"/>
    <w:rsid w:val="49CF169A"/>
    <w:rsid w:val="49D00F6E"/>
    <w:rsid w:val="49D015E7"/>
    <w:rsid w:val="49D03871"/>
    <w:rsid w:val="49D24CE6"/>
    <w:rsid w:val="49D767A1"/>
    <w:rsid w:val="49DA3B9B"/>
    <w:rsid w:val="49DB6B3B"/>
    <w:rsid w:val="49DE7B2F"/>
    <w:rsid w:val="49DF11B1"/>
    <w:rsid w:val="49E14F29"/>
    <w:rsid w:val="49E15DA4"/>
    <w:rsid w:val="49EA0BB5"/>
    <w:rsid w:val="49EA2030"/>
    <w:rsid w:val="49EC3FFA"/>
    <w:rsid w:val="49ED7D72"/>
    <w:rsid w:val="49EE6966"/>
    <w:rsid w:val="49EF3AEA"/>
    <w:rsid w:val="49F033BE"/>
    <w:rsid w:val="49F11610"/>
    <w:rsid w:val="49F17862"/>
    <w:rsid w:val="49F25388"/>
    <w:rsid w:val="49F509D5"/>
    <w:rsid w:val="49F70BF1"/>
    <w:rsid w:val="49F7474D"/>
    <w:rsid w:val="49F954BB"/>
    <w:rsid w:val="49F96717"/>
    <w:rsid w:val="49FB248F"/>
    <w:rsid w:val="49FD6207"/>
    <w:rsid w:val="4A001853"/>
    <w:rsid w:val="4A02381D"/>
    <w:rsid w:val="4A031344"/>
    <w:rsid w:val="4A050C18"/>
    <w:rsid w:val="4A05330E"/>
    <w:rsid w:val="4A056E6A"/>
    <w:rsid w:val="4A06662F"/>
    <w:rsid w:val="4A08695A"/>
    <w:rsid w:val="4A086E2D"/>
    <w:rsid w:val="4A0A26D2"/>
    <w:rsid w:val="4A0A4480"/>
    <w:rsid w:val="4A0B01F8"/>
    <w:rsid w:val="4A0F0210"/>
    <w:rsid w:val="4A105988"/>
    <w:rsid w:val="4A1277D9"/>
    <w:rsid w:val="4A1649E3"/>
    <w:rsid w:val="4A166124"/>
    <w:rsid w:val="4A183041"/>
    <w:rsid w:val="4A1878A4"/>
    <w:rsid w:val="4A1878EC"/>
    <w:rsid w:val="4A190B67"/>
    <w:rsid w:val="4A1C2405"/>
    <w:rsid w:val="4A201EF6"/>
    <w:rsid w:val="4A203CA4"/>
    <w:rsid w:val="4A2A565D"/>
    <w:rsid w:val="4A2B43F6"/>
    <w:rsid w:val="4A2C089A"/>
    <w:rsid w:val="4A2D4613"/>
    <w:rsid w:val="4A2F038B"/>
    <w:rsid w:val="4A314D53"/>
    <w:rsid w:val="4A351969"/>
    <w:rsid w:val="4A360531"/>
    <w:rsid w:val="4A361719"/>
    <w:rsid w:val="4A370FED"/>
    <w:rsid w:val="4A394D65"/>
    <w:rsid w:val="4A396B13"/>
    <w:rsid w:val="4A3B0ADD"/>
    <w:rsid w:val="4A3C6604"/>
    <w:rsid w:val="4A3D2AA8"/>
    <w:rsid w:val="4A4041A0"/>
    <w:rsid w:val="4A447A61"/>
    <w:rsid w:val="4A455374"/>
    <w:rsid w:val="4A4554B8"/>
    <w:rsid w:val="4A45552A"/>
    <w:rsid w:val="4A4643AD"/>
    <w:rsid w:val="4A4756D4"/>
    <w:rsid w:val="4A4831FA"/>
    <w:rsid w:val="4A4D7683"/>
    <w:rsid w:val="4A4F4589"/>
    <w:rsid w:val="4A513E5D"/>
    <w:rsid w:val="4A541B9F"/>
    <w:rsid w:val="4A58343D"/>
    <w:rsid w:val="4A5971B6"/>
    <w:rsid w:val="4A5B1180"/>
    <w:rsid w:val="4A5C1C77"/>
    <w:rsid w:val="4A5F4669"/>
    <w:rsid w:val="4A62250E"/>
    <w:rsid w:val="4A6718D3"/>
    <w:rsid w:val="4A673681"/>
    <w:rsid w:val="4A6873F9"/>
    <w:rsid w:val="4A6902EC"/>
    <w:rsid w:val="4A6A4F1F"/>
    <w:rsid w:val="4A6D0C58"/>
    <w:rsid w:val="4A6F21D0"/>
    <w:rsid w:val="4A6F4C2B"/>
    <w:rsid w:val="4A743FEF"/>
    <w:rsid w:val="4A745D9D"/>
    <w:rsid w:val="4A7D4C52"/>
    <w:rsid w:val="4A800BE6"/>
    <w:rsid w:val="4A8055D9"/>
    <w:rsid w:val="4A8204BA"/>
    <w:rsid w:val="4A821143"/>
    <w:rsid w:val="4A835FE1"/>
    <w:rsid w:val="4A851D59"/>
    <w:rsid w:val="4A857FAB"/>
    <w:rsid w:val="4A875AD1"/>
    <w:rsid w:val="4A881849"/>
    <w:rsid w:val="4A897A9B"/>
    <w:rsid w:val="4A8C30E7"/>
    <w:rsid w:val="4A8F2BD7"/>
    <w:rsid w:val="4A930987"/>
    <w:rsid w:val="4A966F56"/>
    <w:rsid w:val="4A9856E5"/>
    <w:rsid w:val="4A985F30"/>
    <w:rsid w:val="4A993A56"/>
    <w:rsid w:val="4A995804"/>
    <w:rsid w:val="4A9B5A20"/>
    <w:rsid w:val="4A9D3546"/>
    <w:rsid w:val="4A9F106C"/>
    <w:rsid w:val="4A9F72BE"/>
    <w:rsid w:val="4AA15B5C"/>
    <w:rsid w:val="4AA20B5D"/>
    <w:rsid w:val="4AA448D5"/>
    <w:rsid w:val="4AA46683"/>
    <w:rsid w:val="4AA743C5"/>
    <w:rsid w:val="4AA91EEB"/>
    <w:rsid w:val="4AAA7A11"/>
    <w:rsid w:val="4AAB17DF"/>
    <w:rsid w:val="4AAB7A8B"/>
    <w:rsid w:val="4AAE0D8B"/>
    <w:rsid w:val="4AB12B4E"/>
    <w:rsid w:val="4AB32D6A"/>
    <w:rsid w:val="4AB50890"/>
    <w:rsid w:val="4AB52F0F"/>
    <w:rsid w:val="4AB60164"/>
    <w:rsid w:val="4AB663B6"/>
    <w:rsid w:val="4AB71728"/>
    <w:rsid w:val="4ABB577A"/>
    <w:rsid w:val="4AC05487"/>
    <w:rsid w:val="4AC22FAD"/>
    <w:rsid w:val="4AC36325"/>
    <w:rsid w:val="4AC42881"/>
    <w:rsid w:val="4AC64CA6"/>
    <w:rsid w:val="4AC705C3"/>
    <w:rsid w:val="4ACA1E61"/>
    <w:rsid w:val="4ACA3C0F"/>
    <w:rsid w:val="4ACE1952"/>
    <w:rsid w:val="4ACE3700"/>
    <w:rsid w:val="4AD11442"/>
    <w:rsid w:val="4AD54A8E"/>
    <w:rsid w:val="4AD6479B"/>
    <w:rsid w:val="4AD66A58"/>
    <w:rsid w:val="4ADD7DE7"/>
    <w:rsid w:val="4ADF3B5F"/>
    <w:rsid w:val="4ADF590D"/>
    <w:rsid w:val="4AE253FD"/>
    <w:rsid w:val="4AE35524"/>
    <w:rsid w:val="4AE47726"/>
    <w:rsid w:val="4AE50A49"/>
    <w:rsid w:val="4AE52E00"/>
    <w:rsid w:val="4AE71495"/>
    <w:rsid w:val="4AE72A13"/>
    <w:rsid w:val="4AE75720"/>
    <w:rsid w:val="4AE9678B"/>
    <w:rsid w:val="4AEA6060"/>
    <w:rsid w:val="4AEB5531"/>
    <w:rsid w:val="4AEE3DA2"/>
    <w:rsid w:val="4AF07F13"/>
    <w:rsid w:val="4AF173EE"/>
    <w:rsid w:val="4AF57D24"/>
    <w:rsid w:val="4AF60EA8"/>
    <w:rsid w:val="4AF92706"/>
    <w:rsid w:val="4AFD326F"/>
    <w:rsid w:val="4B0215FB"/>
    <w:rsid w:val="4B0324B1"/>
    <w:rsid w:val="4B046206"/>
    <w:rsid w:val="4B052E99"/>
    <w:rsid w:val="4B071F90"/>
    <w:rsid w:val="4B0E1D4E"/>
    <w:rsid w:val="4B0E74FB"/>
    <w:rsid w:val="4B101F6A"/>
    <w:rsid w:val="4B125CE2"/>
    <w:rsid w:val="4B133808"/>
    <w:rsid w:val="4B1355B6"/>
    <w:rsid w:val="4B137364"/>
    <w:rsid w:val="4B14730E"/>
    <w:rsid w:val="4B1530DD"/>
    <w:rsid w:val="4B176459"/>
    <w:rsid w:val="4B1871BC"/>
    <w:rsid w:val="4B1A4B97"/>
    <w:rsid w:val="4B1B26BD"/>
    <w:rsid w:val="4B1B6587"/>
    <w:rsid w:val="4B1D01E3"/>
    <w:rsid w:val="4B1D4687"/>
    <w:rsid w:val="4B1F3F5B"/>
    <w:rsid w:val="4B215F25"/>
    <w:rsid w:val="4B222A40"/>
    <w:rsid w:val="4B223A4B"/>
    <w:rsid w:val="4B2477C4"/>
    <w:rsid w:val="4B2B2900"/>
    <w:rsid w:val="4B2B6DA4"/>
    <w:rsid w:val="4B2C6678"/>
    <w:rsid w:val="4B2E23F0"/>
    <w:rsid w:val="4B337A07"/>
    <w:rsid w:val="4B356E93"/>
    <w:rsid w:val="4B3571A2"/>
    <w:rsid w:val="4B3612A5"/>
    <w:rsid w:val="4B3814C1"/>
    <w:rsid w:val="4B38326F"/>
    <w:rsid w:val="4B396FAF"/>
    <w:rsid w:val="4B3B24B9"/>
    <w:rsid w:val="4B3D2633"/>
    <w:rsid w:val="4B3D6AD7"/>
    <w:rsid w:val="4B3E7F90"/>
    <w:rsid w:val="4B3F31DE"/>
    <w:rsid w:val="4B410375"/>
    <w:rsid w:val="4B41375A"/>
    <w:rsid w:val="4B41632B"/>
    <w:rsid w:val="4B427C4A"/>
    <w:rsid w:val="4B441C14"/>
    <w:rsid w:val="4B4420DB"/>
    <w:rsid w:val="4B4734B2"/>
    <w:rsid w:val="4B481704"/>
    <w:rsid w:val="4B494ABD"/>
    <w:rsid w:val="4B49547C"/>
    <w:rsid w:val="4B4B1FAE"/>
    <w:rsid w:val="4B4B4D50"/>
    <w:rsid w:val="4B4D6D1A"/>
    <w:rsid w:val="4B4E65EF"/>
    <w:rsid w:val="4B505C35"/>
    <w:rsid w:val="4B50680B"/>
    <w:rsid w:val="4B524331"/>
    <w:rsid w:val="4B542EFC"/>
    <w:rsid w:val="4B553E21"/>
    <w:rsid w:val="4B5736F5"/>
    <w:rsid w:val="4B582A18"/>
    <w:rsid w:val="4B5C0D0B"/>
    <w:rsid w:val="4B5C6F5D"/>
    <w:rsid w:val="4B5E0F27"/>
    <w:rsid w:val="4B616322"/>
    <w:rsid w:val="4B630235"/>
    <w:rsid w:val="4B647BC0"/>
    <w:rsid w:val="4B661B8A"/>
    <w:rsid w:val="4B6A5537"/>
    <w:rsid w:val="4B6B0F4E"/>
    <w:rsid w:val="4B6E0A3F"/>
    <w:rsid w:val="4B6E6C91"/>
    <w:rsid w:val="4B700C5B"/>
    <w:rsid w:val="4B726781"/>
    <w:rsid w:val="4B7342A7"/>
    <w:rsid w:val="4B771FE9"/>
    <w:rsid w:val="4B7778F3"/>
    <w:rsid w:val="4B78366B"/>
    <w:rsid w:val="4B7D0C82"/>
    <w:rsid w:val="4B7F49FA"/>
    <w:rsid w:val="4B8244EA"/>
    <w:rsid w:val="4B840D2C"/>
    <w:rsid w:val="4B871B00"/>
    <w:rsid w:val="4B895879"/>
    <w:rsid w:val="4B8A1D1C"/>
    <w:rsid w:val="4B8A33E0"/>
    <w:rsid w:val="4B8E2E8F"/>
    <w:rsid w:val="4B904E59"/>
    <w:rsid w:val="4B906C07"/>
    <w:rsid w:val="4B9304A5"/>
    <w:rsid w:val="4B9366F7"/>
    <w:rsid w:val="4B9745A8"/>
    <w:rsid w:val="4B986E74"/>
    <w:rsid w:val="4B9A7A86"/>
    <w:rsid w:val="4B9C37FE"/>
    <w:rsid w:val="4B9E1324"/>
    <w:rsid w:val="4B9E7576"/>
    <w:rsid w:val="4B9F6E4A"/>
    <w:rsid w:val="4BA11667"/>
    <w:rsid w:val="4BA206E8"/>
    <w:rsid w:val="4BA22BA5"/>
    <w:rsid w:val="4BA32DDE"/>
    <w:rsid w:val="4BA45417"/>
    <w:rsid w:val="4BA601D9"/>
    <w:rsid w:val="4BA70019"/>
    <w:rsid w:val="4BA7104B"/>
    <w:rsid w:val="4BA91610"/>
    <w:rsid w:val="4BAB0C88"/>
    <w:rsid w:val="4BB26B7D"/>
    <w:rsid w:val="4BB5041C"/>
    <w:rsid w:val="4BB74194"/>
    <w:rsid w:val="4BB943B0"/>
    <w:rsid w:val="4BBA0128"/>
    <w:rsid w:val="4BBC369E"/>
    <w:rsid w:val="4BBC5C4E"/>
    <w:rsid w:val="4BBE2414"/>
    <w:rsid w:val="4BBF74EC"/>
    <w:rsid w:val="4BC0573E"/>
    <w:rsid w:val="4BC114B6"/>
    <w:rsid w:val="4BC44B03"/>
    <w:rsid w:val="4BC863A1"/>
    <w:rsid w:val="4BC92119"/>
    <w:rsid w:val="4BCB2F27"/>
    <w:rsid w:val="4BCD7E5B"/>
    <w:rsid w:val="4BD177C8"/>
    <w:rsid w:val="4BD5745C"/>
    <w:rsid w:val="4BD66E16"/>
    <w:rsid w:val="4BD9235C"/>
    <w:rsid w:val="4BDC698D"/>
    <w:rsid w:val="4BDE15FA"/>
    <w:rsid w:val="4BDE7972"/>
    <w:rsid w:val="4BE13907"/>
    <w:rsid w:val="4BE27F8A"/>
    <w:rsid w:val="4BE86A43"/>
    <w:rsid w:val="4BED4059"/>
    <w:rsid w:val="4BED509D"/>
    <w:rsid w:val="4BED5E07"/>
    <w:rsid w:val="4BEF7DD1"/>
    <w:rsid w:val="4BF03B4A"/>
    <w:rsid w:val="4BF058F8"/>
    <w:rsid w:val="4BF13A1E"/>
    <w:rsid w:val="4BF4363A"/>
    <w:rsid w:val="4BF47196"/>
    <w:rsid w:val="4BF61160"/>
    <w:rsid w:val="4BF70A34"/>
    <w:rsid w:val="4BF90C50"/>
    <w:rsid w:val="4BFA0524"/>
    <w:rsid w:val="4BFF5B3B"/>
    <w:rsid w:val="4C001FDF"/>
    <w:rsid w:val="4C0118B3"/>
    <w:rsid w:val="4C011CD6"/>
    <w:rsid w:val="4C013661"/>
    <w:rsid w:val="4C017B05"/>
    <w:rsid w:val="4C03562B"/>
    <w:rsid w:val="4C0373D9"/>
    <w:rsid w:val="4C0575F5"/>
    <w:rsid w:val="4C075A4E"/>
    <w:rsid w:val="4C075C03"/>
    <w:rsid w:val="4C08248D"/>
    <w:rsid w:val="4C082C41"/>
    <w:rsid w:val="4C0A4C0B"/>
    <w:rsid w:val="4C0A69B9"/>
    <w:rsid w:val="4C0B2731"/>
    <w:rsid w:val="4C0C0983"/>
    <w:rsid w:val="4C0F2222"/>
    <w:rsid w:val="4C121D12"/>
    <w:rsid w:val="4C1248AE"/>
    <w:rsid w:val="4C126D5F"/>
    <w:rsid w:val="4C1415E6"/>
    <w:rsid w:val="4C1559E9"/>
    <w:rsid w:val="4C172E84"/>
    <w:rsid w:val="4C175738"/>
    <w:rsid w:val="4C1A4723"/>
    <w:rsid w:val="4C1C493F"/>
    <w:rsid w:val="4C1D417B"/>
    <w:rsid w:val="4C207F8B"/>
    <w:rsid w:val="4C235CCD"/>
    <w:rsid w:val="4C261319"/>
    <w:rsid w:val="4C26696E"/>
    <w:rsid w:val="4C276021"/>
    <w:rsid w:val="4C2A0E0A"/>
    <w:rsid w:val="4C2D08FA"/>
    <w:rsid w:val="4C2D26A8"/>
    <w:rsid w:val="4C2D4456"/>
    <w:rsid w:val="4C2F01CE"/>
    <w:rsid w:val="4C2F6420"/>
    <w:rsid w:val="4C312198"/>
    <w:rsid w:val="4C324162"/>
    <w:rsid w:val="4C3457E4"/>
    <w:rsid w:val="4C365750"/>
    <w:rsid w:val="4C3752D5"/>
    <w:rsid w:val="4C392DFB"/>
    <w:rsid w:val="4C39729F"/>
    <w:rsid w:val="4C3B6274"/>
    <w:rsid w:val="4C4023DB"/>
    <w:rsid w:val="4C412FEB"/>
    <w:rsid w:val="4C416153"/>
    <w:rsid w:val="4C417F01"/>
    <w:rsid w:val="4C43011D"/>
    <w:rsid w:val="4C434755"/>
    <w:rsid w:val="4C465518"/>
    <w:rsid w:val="4C4719BC"/>
    <w:rsid w:val="4C483795"/>
    <w:rsid w:val="4C4A256A"/>
    <w:rsid w:val="4C4B4116"/>
    <w:rsid w:val="4C4C6FD2"/>
    <w:rsid w:val="4C4D2D4A"/>
    <w:rsid w:val="4C4F1E34"/>
    <w:rsid w:val="4C4F261E"/>
    <w:rsid w:val="4C4F6AC2"/>
    <w:rsid w:val="4C516396"/>
    <w:rsid w:val="4C527899"/>
    <w:rsid w:val="4C537145"/>
    <w:rsid w:val="4C545E87"/>
    <w:rsid w:val="4C561BFF"/>
    <w:rsid w:val="4C5639AD"/>
    <w:rsid w:val="4C575977"/>
    <w:rsid w:val="4C583BC9"/>
    <w:rsid w:val="4C5B5467"/>
    <w:rsid w:val="4C5C2F8D"/>
    <w:rsid w:val="4C5D11DF"/>
    <w:rsid w:val="4C5F2E23"/>
    <w:rsid w:val="4C60482B"/>
    <w:rsid w:val="4C6065D9"/>
    <w:rsid w:val="4C612351"/>
    <w:rsid w:val="4C6170D2"/>
    <w:rsid w:val="4C633D3F"/>
    <w:rsid w:val="4C650094"/>
    <w:rsid w:val="4C653BF0"/>
    <w:rsid w:val="4C673E0C"/>
    <w:rsid w:val="4C681932"/>
    <w:rsid w:val="4C6A38FC"/>
    <w:rsid w:val="4C6C1422"/>
    <w:rsid w:val="4C6F0F12"/>
    <w:rsid w:val="4C6F2CC0"/>
    <w:rsid w:val="4C7105EB"/>
    <w:rsid w:val="4C72455F"/>
    <w:rsid w:val="4C746529"/>
    <w:rsid w:val="4C760341"/>
    <w:rsid w:val="4C760506"/>
    <w:rsid w:val="4C771B75"/>
    <w:rsid w:val="4C79769B"/>
    <w:rsid w:val="4C7D362F"/>
    <w:rsid w:val="4C7D5AE9"/>
    <w:rsid w:val="4C7E1155"/>
    <w:rsid w:val="4C7E4CB1"/>
    <w:rsid w:val="4C804ECE"/>
    <w:rsid w:val="4C8449BE"/>
    <w:rsid w:val="4C87000A"/>
    <w:rsid w:val="4C883D82"/>
    <w:rsid w:val="4C8A5B97"/>
    <w:rsid w:val="4C8C3872"/>
    <w:rsid w:val="4C8C73CE"/>
    <w:rsid w:val="4C8D3147"/>
    <w:rsid w:val="4C8F5111"/>
    <w:rsid w:val="4C910E89"/>
    <w:rsid w:val="4C92075D"/>
    <w:rsid w:val="4C9269AF"/>
    <w:rsid w:val="4C9444D5"/>
    <w:rsid w:val="4C9604BD"/>
    <w:rsid w:val="4C963F23"/>
    <w:rsid w:val="4C976993"/>
    <w:rsid w:val="4C982217"/>
    <w:rsid w:val="4C9A739C"/>
    <w:rsid w:val="4C9B1D07"/>
    <w:rsid w:val="4C9E35A6"/>
    <w:rsid w:val="4C9E7102"/>
    <w:rsid w:val="4CA02E7A"/>
    <w:rsid w:val="4CA24E44"/>
    <w:rsid w:val="4CA30BBC"/>
    <w:rsid w:val="4CA43DA3"/>
    <w:rsid w:val="4CA639FC"/>
    <w:rsid w:val="4CA7245A"/>
    <w:rsid w:val="4CA87F80"/>
    <w:rsid w:val="4CAA019C"/>
    <w:rsid w:val="4CAA1F4A"/>
    <w:rsid w:val="4CAE37E9"/>
    <w:rsid w:val="4CAF7775"/>
    <w:rsid w:val="4CB132D9"/>
    <w:rsid w:val="4CB156AB"/>
    <w:rsid w:val="4CB16E35"/>
    <w:rsid w:val="4CB360F6"/>
    <w:rsid w:val="4CB46925"/>
    <w:rsid w:val="4CB608EF"/>
    <w:rsid w:val="4CBA03DF"/>
    <w:rsid w:val="4CBB4158"/>
    <w:rsid w:val="4CBD3A2C"/>
    <w:rsid w:val="4CBE1552"/>
    <w:rsid w:val="4CC0351C"/>
    <w:rsid w:val="4CC4300C"/>
    <w:rsid w:val="4CC4707B"/>
    <w:rsid w:val="4CC5087B"/>
    <w:rsid w:val="4CC53AED"/>
    <w:rsid w:val="4CC73D9F"/>
    <w:rsid w:val="4CC823D1"/>
    <w:rsid w:val="4CCA439B"/>
    <w:rsid w:val="4CCB6C1A"/>
    <w:rsid w:val="4CCC1EC1"/>
    <w:rsid w:val="4CCD0192"/>
    <w:rsid w:val="4CD174D7"/>
    <w:rsid w:val="4CD314A1"/>
    <w:rsid w:val="4CD34FFD"/>
    <w:rsid w:val="4CD55219"/>
    <w:rsid w:val="4CD64AED"/>
    <w:rsid w:val="4CD6689C"/>
    <w:rsid w:val="4CDB2104"/>
    <w:rsid w:val="4CDB65A8"/>
    <w:rsid w:val="4CDD40CE"/>
    <w:rsid w:val="4CDD5E7C"/>
    <w:rsid w:val="4CDE39A2"/>
    <w:rsid w:val="4CDF1BF4"/>
    <w:rsid w:val="4CDF7E46"/>
    <w:rsid w:val="4CE03BBE"/>
    <w:rsid w:val="4CE11174"/>
    <w:rsid w:val="4CE27936"/>
    <w:rsid w:val="4CE36D98"/>
    <w:rsid w:val="4CE4545C"/>
    <w:rsid w:val="4CE52F83"/>
    <w:rsid w:val="4CE70AA9"/>
    <w:rsid w:val="4CEA0D96"/>
    <w:rsid w:val="4CEC4311"/>
    <w:rsid w:val="4CEC60BF"/>
    <w:rsid w:val="4CEE1E37"/>
    <w:rsid w:val="4CEF5BAF"/>
    <w:rsid w:val="4CF3744D"/>
    <w:rsid w:val="4CF51418"/>
    <w:rsid w:val="4CF84A64"/>
    <w:rsid w:val="4CFB09F8"/>
    <w:rsid w:val="4CFB4554"/>
    <w:rsid w:val="4CFF2296"/>
    <w:rsid w:val="4CFF538B"/>
    <w:rsid w:val="4D004428"/>
    <w:rsid w:val="4D007DBC"/>
    <w:rsid w:val="4D01600E"/>
    <w:rsid w:val="4D04165B"/>
    <w:rsid w:val="4D0478AD"/>
    <w:rsid w:val="4D072EF9"/>
    <w:rsid w:val="4D094EC3"/>
    <w:rsid w:val="4D0C6761"/>
    <w:rsid w:val="4D0D7B68"/>
    <w:rsid w:val="4D0E4287"/>
    <w:rsid w:val="4D0F1DAD"/>
    <w:rsid w:val="4D0F7FFF"/>
    <w:rsid w:val="4D113D78"/>
    <w:rsid w:val="4D155616"/>
    <w:rsid w:val="4D1614F4"/>
    <w:rsid w:val="4D1675E0"/>
    <w:rsid w:val="4D167942"/>
    <w:rsid w:val="4D1A0E7E"/>
    <w:rsid w:val="4D1A70D0"/>
    <w:rsid w:val="4D1C5366"/>
    <w:rsid w:val="4D1D096E"/>
    <w:rsid w:val="4D1F0243"/>
    <w:rsid w:val="4D20220D"/>
    <w:rsid w:val="4D292E6F"/>
    <w:rsid w:val="4D2A6BE7"/>
    <w:rsid w:val="4D2B3A0A"/>
    <w:rsid w:val="4D2C295F"/>
    <w:rsid w:val="4D2E0486"/>
    <w:rsid w:val="4D2E492A"/>
    <w:rsid w:val="4D2E66D8"/>
    <w:rsid w:val="4D2F41FE"/>
    <w:rsid w:val="4D302450"/>
    <w:rsid w:val="4D330B6A"/>
    <w:rsid w:val="4D331F40"/>
    <w:rsid w:val="4D371A30"/>
    <w:rsid w:val="4D3857A8"/>
    <w:rsid w:val="4D387556"/>
    <w:rsid w:val="4D3A32CE"/>
    <w:rsid w:val="4D3B0DF4"/>
    <w:rsid w:val="4D3B2BA3"/>
    <w:rsid w:val="4D3D2DBF"/>
    <w:rsid w:val="4D3D691B"/>
    <w:rsid w:val="4D3E3E4D"/>
    <w:rsid w:val="4D3F08E5"/>
    <w:rsid w:val="4D4001B9"/>
    <w:rsid w:val="4D422183"/>
    <w:rsid w:val="4D4419A1"/>
    <w:rsid w:val="4D461C73"/>
    <w:rsid w:val="4D46260B"/>
    <w:rsid w:val="4D4759EB"/>
    <w:rsid w:val="4D491763"/>
    <w:rsid w:val="4D4952BF"/>
    <w:rsid w:val="4D4B54DB"/>
    <w:rsid w:val="4D4C3ECB"/>
    <w:rsid w:val="4D4D5883"/>
    <w:rsid w:val="4D5048A0"/>
    <w:rsid w:val="4D50664E"/>
    <w:rsid w:val="4D510618"/>
    <w:rsid w:val="4D572760"/>
    <w:rsid w:val="4D573E80"/>
    <w:rsid w:val="4D587BF8"/>
    <w:rsid w:val="4D59577F"/>
    <w:rsid w:val="4D5D520F"/>
    <w:rsid w:val="4D5F0F87"/>
    <w:rsid w:val="4D61085B"/>
    <w:rsid w:val="4D6614CB"/>
    <w:rsid w:val="4D664345"/>
    <w:rsid w:val="4D665E71"/>
    <w:rsid w:val="4D673998"/>
    <w:rsid w:val="4D677E3B"/>
    <w:rsid w:val="4D6A6664"/>
    <w:rsid w:val="4D6B16DA"/>
    <w:rsid w:val="4D6B792C"/>
    <w:rsid w:val="4D6C0BAC"/>
    <w:rsid w:val="4D6C0FAE"/>
    <w:rsid w:val="4D6D4946"/>
    <w:rsid w:val="4D6E4D26"/>
    <w:rsid w:val="4D73058E"/>
    <w:rsid w:val="4D7762D0"/>
    <w:rsid w:val="4D777400"/>
    <w:rsid w:val="4D783DF7"/>
    <w:rsid w:val="4D785BA5"/>
    <w:rsid w:val="4D7B47A8"/>
    <w:rsid w:val="4D7C06A1"/>
    <w:rsid w:val="4D7D31BB"/>
    <w:rsid w:val="4D7F5185"/>
    <w:rsid w:val="4D826A23"/>
    <w:rsid w:val="4D8409ED"/>
    <w:rsid w:val="4D84279B"/>
    <w:rsid w:val="4D8602C2"/>
    <w:rsid w:val="4D875DE8"/>
    <w:rsid w:val="4D881740"/>
    <w:rsid w:val="4D891B60"/>
    <w:rsid w:val="4D8B55C5"/>
    <w:rsid w:val="4D8B58D8"/>
    <w:rsid w:val="4D8C1563"/>
    <w:rsid w:val="4D8C33FE"/>
    <w:rsid w:val="4D8E7176"/>
    <w:rsid w:val="4D8E7CE0"/>
    <w:rsid w:val="4D902EEE"/>
    <w:rsid w:val="4D904369"/>
    <w:rsid w:val="4D913E48"/>
    <w:rsid w:val="4D9329DF"/>
    <w:rsid w:val="4D93478D"/>
    <w:rsid w:val="4D9549A9"/>
    <w:rsid w:val="4D9626D8"/>
    <w:rsid w:val="4D9724CF"/>
    <w:rsid w:val="4D987FF5"/>
    <w:rsid w:val="4D994499"/>
    <w:rsid w:val="4D9A5B1B"/>
    <w:rsid w:val="4D9C5D37"/>
    <w:rsid w:val="4D9D385D"/>
    <w:rsid w:val="4D9E1AAF"/>
    <w:rsid w:val="4D9F3131"/>
    <w:rsid w:val="4DA0550D"/>
    <w:rsid w:val="4DA1334D"/>
    <w:rsid w:val="4DA30E74"/>
    <w:rsid w:val="4DA370C6"/>
    <w:rsid w:val="4DA44BEC"/>
    <w:rsid w:val="4DA60964"/>
    <w:rsid w:val="4DA62712"/>
    <w:rsid w:val="4DA846DC"/>
    <w:rsid w:val="4DA92202"/>
    <w:rsid w:val="4DA929B3"/>
    <w:rsid w:val="4DAA6834"/>
    <w:rsid w:val="4DAB1AD6"/>
    <w:rsid w:val="4DAB41CC"/>
    <w:rsid w:val="4DAB5F7A"/>
    <w:rsid w:val="4DAD1CF2"/>
    <w:rsid w:val="4DAE5A6A"/>
    <w:rsid w:val="4DB017E2"/>
    <w:rsid w:val="4DB03590"/>
    <w:rsid w:val="4DB049C0"/>
    <w:rsid w:val="4DB36BDD"/>
    <w:rsid w:val="4DB56DF9"/>
    <w:rsid w:val="4DB7438A"/>
    <w:rsid w:val="4DB82445"/>
    <w:rsid w:val="4DBC0707"/>
    <w:rsid w:val="4DBD7A5B"/>
    <w:rsid w:val="4DBE5CAD"/>
    <w:rsid w:val="4DBF1A26"/>
    <w:rsid w:val="4DBF5582"/>
    <w:rsid w:val="4DC134BA"/>
    <w:rsid w:val="4DC15335"/>
    <w:rsid w:val="4DC1579E"/>
    <w:rsid w:val="4DC31516"/>
    <w:rsid w:val="4DC332C4"/>
    <w:rsid w:val="4DC40DEA"/>
    <w:rsid w:val="4DC42B98"/>
    <w:rsid w:val="4DC617B7"/>
    <w:rsid w:val="4DC62DB4"/>
    <w:rsid w:val="4DC94652"/>
    <w:rsid w:val="4DC967FE"/>
    <w:rsid w:val="4DCA28A4"/>
    <w:rsid w:val="4DCF5FFB"/>
    <w:rsid w:val="4DD17574"/>
    <w:rsid w:val="4DD21759"/>
    <w:rsid w:val="4DD23507"/>
    <w:rsid w:val="4DD76D6F"/>
    <w:rsid w:val="4DD86643"/>
    <w:rsid w:val="4DD92AE7"/>
    <w:rsid w:val="4DD94895"/>
    <w:rsid w:val="4DDA060D"/>
    <w:rsid w:val="4DDE7A3E"/>
    <w:rsid w:val="4DDF5C24"/>
    <w:rsid w:val="4DDF79D2"/>
    <w:rsid w:val="4DE03227"/>
    <w:rsid w:val="4DE1199C"/>
    <w:rsid w:val="4DE33966"/>
    <w:rsid w:val="4DE35714"/>
    <w:rsid w:val="4DE4323A"/>
    <w:rsid w:val="4DE4410A"/>
    <w:rsid w:val="4DE561D0"/>
    <w:rsid w:val="4DEA6AA2"/>
    <w:rsid w:val="4DEB00F1"/>
    <w:rsid w:val="4DEE5E67"/>
    <w:rsid w:val="4DEF230B"/>
    <w:rsid w:val="4DEF40B9"/>
    <w:rsid w:val="4DF0398D"/>
    <w:rsid w:val="4DF0744A"/>
    <w:rsid w:val="4DF2316E"/>
    <w:rsid w:val="4DF55447"/>
    <w:rsid w:val="4DF705E5"/>
    <w:rsid w:val="4DF72F6D"/>
    <w:rsid w:val="4DF93E1A"/>
    <w:rsid w:val="4E014268"/>
    <w:rsid w:val="4E015B9A"/>
    <w:rsid w:val="4E023B58"/>
    <w:rsid w:val="4E031912"/>
    <w:rsid w:val="4E04568A"/>
    <w:rsid w:val="4E047438"/>
    <w:rsid w:val="4E056021"/>
    <w:rsid w:val="4E092CA1"/>
    <w:rsid w:val="4E0A0EF3"/>
    <w:rsid w:val="4E0F143D"/>
    <w:rsid w:val="4E10402F"/>
    <w:rsid w:val="4E105DDD"/>
    <w:rsid w:val="4E125E21"/>
    <w:rsid w:val="4E125FF9"/>
    <w:rsid w:val="4E166204"/>
    <w:rsid w:val="4E1C4782"/>
    <w:rsid w:val="4E1D662B"/>
    <w:rsid w:val="4E1E674C"/>
    <w:rsid w:val="4E21443A"/>
    <w:rsid w:val="4E232079"/>
    <w:rsid w:val="4E235B10"/>
    <w:rsid w:val="4E296E9F"/>
    <w:rsid w:val="4E2B2C17"/>
    <w:rsid w:val="4E2F2707"/>
    <w:rsid w:val="4E30022D"/>
    <w:rsid w:val="4E30647F"/>
    <w:rsid w:val="4E323096"/>
    <w:rsid w:val="4E323FA5"/>
    <w:rsid w:val="4E353158"/>
    <w:rsid w:val="4E361CE8"/>
    <w:rsid w:val="4E375A60"/>
    <w:rsid w:val="4E37780E"/>
    <w:rsid w:val="4E393586"/>
    <w:rsid w:val="4E3B72FE"/>
    <w:rsid w:val="4E3C3076"/>
    <w:rsid w:val="4E3F66C2"/>
    <w:rsid w:val="4E3F7DE0"/>
    <w:rsid w:val="4E402B66"/>
    <w:rsid w:val="4E404914"/>
    <w:rsid w:val="4E4116FB"/>
    <w:rsid w:val="4E485577"/>
    <w:rsid w:val="4E497D56"/>
    <w:rsid w:val="4E4B5067"/>
    <w:rsid w:val="4E4C150B"/>
    <w:rsid w:val="4E4D0DDF"/>
    <w:rsid w:val="4E4E35AB"/>
    <w:rsid w:val="4E4F2DA9"/>
    <w:rsid w:val="4E5111F0"/>
    <w:rsid w:val="4E5401B4"/>
    <w:rsid w:val="4E55147F"/>
    <w:rsid w:val="4E573921"/>
    <w:rsid w:val="4E5A52AA"/>
    <w:rsid w:val="4E5B174E"/>
    <w:rsid w:val="4E5C7274"/>
    <w:rsid w:val="4E5E123E"/>
    <w:rsid w:val="4E5F37F4"/>
    <w:rsid w:val="4E661F86"/>
    <w:rsid w:val="4E6673B5"/>
    <w:rsid w:val="4E685C19"/>
    <w:rsid w:val="4E6A1991"/>
    <w:rsid w:val="4E6A373F"/>
    <w:rsid w:val="4E6D1482"/>
    <w:rsid w:val="4E6F32E9"/>
    <w:rsid w:val="4E6F36A5"/>
    <w:rsid w:val="4E6F37AF"/>
    <w:rsid w:val="4E720846"/>
    <w:rsid w:val="4E747792"/>
    <w:rsid w:val="4E775E5C"/>
    <w:rsid w:val="4E78294C"/>
    <w:rsid w:val="4E7B17E5"/>
    <w:rsid w:val="4E7B4F3A"/>
    <w:rsid w:val="4E7B594C"/>
    <w:rsid w:val="4E7F169D"/>
    <w:rsid w:val="4E7F7A2B"/>
    <w:rsid w:val="4E8056FE"/>
    <w:rsid w:val="4E807407"/>
    <w:rsid w:val="4E830CA5"/>
    <w:rsid w:val="4E85550F"/>
    <w:rsid w:val="4E8642F1"/>
    <w:rsid w:val="4E870795"/>
    <w:rsid w:val="4E8A2033"/>
    <w:rsid w:val="4E8C5C1B"/>
    <w:rsid w:val="4E8D38D2"/>
    <w:rsid w:val="4E8E7D02"/>
    <w:rsid w:val="4E8F13F8"/>
    <w:rsid w:val="4E9051F3"/>
    <w:rsid w:val="4E9133C2"/>
    <w:rsid w:val="4E920EE8"/>
    <w:rsid w:val="4E93713A"/>
    <w:rsid w:val="4E946BA6"/>
    <w:rsid w:val="4E9609D8"/>
    <w:rsid w:val="4E9764FE"/>
    <w:rsid w:val="4E983985"/>
    <w:rsid w:val="4E9904C8"/>
    <w:rsid w:val="4E9B7D9D"/>
    <w:rsid w:val="4E9C58C3"/>
    <w:rsid w:val="4E9D1D67"/>
    <w:rsid w:val="4E9F7546"/>
    <w:rsid w:val="4EA2112B"/>
    <w:rsid w:val="4EA50C1B"/>
    <w:rsid w:val="4EA529C9"/>
    <w:rsid w:val="4EA604F0"/>
    <w:rsid w:val="4EA67DA2"/>
    <w:rsid w:val="4EA74993"/>
    <w:rsid w:val="4EA81D39"/>
    <w:rsid w:val="4EA824BA"/>
    <w:rsid w:val="4EAA4484"/>
    <w:rsid w:val="4EAA7FE0"/>
    <w:rsid w:val="4EAD157E"/>
    <w:rsid w:val="4EAD66A3"/>
    <w:rsid w:val="4EAF3848"/>
    <w:rsid w:val="4EB1136E"/>
    <w:rsid w:val="4EB3058D"/>
    <w:rsid w:val="4EB42C0C"/>
    <w:rsid w:val="4EB470B0"/>
    <w:rsid w:val="4EB64BD7"/>
    <w:rsid w:val="4EB726FD"/>
    <w:rsid w:val="4EBB043F"/>
    <w:rsid w:val="4EBB3F9B"/>
    <w:rsid w:val="4EBD5F65"/>
    <w:rsid w:val="4EC05A55"/>
    <w:rsid w:val="4EC07FC0"/>
    <w:rsid w:val="4EC549CB"/>
    <w:rsid w:val="4EC7492C"/>
    <w:rsid w:val="4ECA0682"/>
    <w:rsid w:val="4ECA2430"/>
    <w:rsid w:val="4ECC61A8"/>
    <w:rsid w:val="4ECC7F56"/>
    <w:rsid w:val="4ECD3CCE"/>
    <w:rsid w:val="4ECF5C98"/>
    <w:rsid w:val="4ED05C90"/>
    <w:rsid w:val="4ED11A10"/>
    <w:rsid w:val="4ED17C62"/>
    <w:rsid w:val="4ED223D5"/>
    <w:rsid w:val="4ED35788"/>
    <w:rsid w:val="4ED63927"/>
    <w:rsid w:val="4ED67027"/>
    <w:rsid w:val="4ED82D9F"/>
    <w:rsid w:val="4ED84B4D"/>
    <w:rsid w:val="4ED876D7"/>
    <w:rsid w:val="4ED908C5"/>
    <w:rsid w:val="4EDB288F"/>
    <w:rsid w:val="4EDD6607"/>
    <w:rsid w:val="4EDE412D"/>
    <w:rsid w:val="4EDE5EDB"/>
    <w:rsid w:val="4EDF237F"/>
    <w:rsid w:val="4EE03A01"/>
    <w:rsid w:val="4EE05E69"/>
    <w:rsid w:val="4EE07EA5"/>
    <w:rsid w:val="4EE2777A"/>
    <w:rsid w:val="4EE334F2"/>
    <w:rsid w:val="4EE74D90"/>
    <w:rsid w:val="4EEA2AD2"/>
    <w:rsid w:val="4EED611E"/>
    <w:rsid w:val="4EEE4370"/>
    <w:rsid w:val="4EEF1E97"/>
    <w:rsid w:val="4EEF1EC7"/>
    <w:rsid w:val="4EF179BD"/>
    <w:rsid w:val="4EF37BD9"/>
    <w:rsid w:val="4EF456FF"/>
    <w:rsid w:val="4EF474AD"/>
    <w:rsid w:val="4EF676C9"/>
    <w:rsid w:val="4EF94AC3"/>
    <w:rsid w:val="4EFA2D21"/>
    <w:rsid w:val="4EFD0A57"/>
    <w:rsid w:val="4EFD45B3"/>
    <w:rsid w:val="4EFD7144"/>
    <w:rsid w:val="4EFE032C"/>
    <w:rsid w:val="4EFE20DA"/>
    <w:rsid w:val="4EFE7F61"/>
    <w:rsid w:val="4F001CBF"/>
    <w:rsid w:val="4F0040A4"/>
    <w:rsid w:val="4F005E52"/>
    <w:rsid w:val="4F02606E"/>
    <w:rsid w:val="4F043B94"/>
    <w:rsid w:val="4F045263"/>
    <w:rsid w:val="4F0771E0"/>
    <w:rsid w:val="4F082F58"/>
    <w:rsid w:val="4F0A0A7E"/>
    <w:rsid w:val="4F0C2A48"/>
    <w:rsid w:val="4F0F2539"/>
    <w:rsid w:val="4F1109F2"/>
    <w:rsid w:val="4F1338C8"/>
    <w:rsid w:val="4F18763F"/>
    <w:rsid w:val="4F1A33B7"/>
    <w:rsid w:val="4F1E452A"/>
    <w:rsid w:val="4F1F3FB3"/>
    <w:rsid w:val="4F2064F4"/>
    <w:rsid w:val="4F2204BE"/>
    <w:rsid w:val="4F22226C"/>
    <w:rsid w:val="4F22401A"/>
    <w:rsid w:val="4F253B0A"/>
    <w:rsid w:val="4F277882"/>
    <w:rsid w:val="4F2935FA"/>
    <w:rsid w:val="4F2C6C47"/>
    <w:rsid w:val="4F2E0C11"/>
    <w:rsid w:val="4F2E58FF"/>
    <w:rsid w:val="4F302DF0"/>
    <w:rsid w:val="4F310701"/>
    <w:rsid w:val="4F33776D"/>
    <w:rsid w:val="4F337FD5"/>
    <w:rsid w:val="4F352BA9"/>
    <w:rsid w:val="4F3A5808"/>
    <w:rsid w:val="4F3B332E"/>
    <w:rsid w:val="4F3D3F5C"/>
    <w:rsid w:val="4F3D70A6"/>
    <w:rsid w:val="4F3F2E1E"/>
    <w:rsid w:val="4F3F4BCC"/>
    <w:rsid w:val="4F410E9B"/>
    <w:rsid w:val="4F42290E"/>
    <w:rsid w:val="4F4246BC"/>
    <w:rsid w:val="4F460F98"/>
    <w:rsid w:val="4F4641AC"/>
    <w:rsid w:val="4F471CD3"/>
    <w:rsid w:val="4F477BE7"/>
    <w:rsid w:val="4F4950D8"/>
    <w:rsid w:val="4F4A531F"/>
    <w:rsid w:val="4F4C1097"/>
    <w:rsid w:val="4F4C5C58"/>
    <w:rsid w:val="4F4E4E0F"/>
    <w:rsid w:val="4F5145AF"/>
    <w:rsid w:val="4F5166AD"/>
    <w:rsid w:val="4F521799"/>
    <w:rsid w:val="4F524CFA"/>
    <w:rsid w:val="4F532425"/>
    <w:rsid w:val="4F5368C9"/>
    <w:rsid w:val="4F5543EF"/>
    <w:rsid w:val="4F563CC4"/>
    <w:rsid w:val="4F56624C"/>
    <w:rsid w:val="4F585C8E"/>
    <w:rsid w:val="4F594BCD"/>
    <w:rsid w:val="4F5B1A36"/>
    <w:rsid w:val="4F5B577E"/>
    <w:rsid w:val="4F5B752C"/>
    <w:rsid w:val="4F5F701C"/>
    <w:rsid w:val="4F624D5E"/>
    <w:rsid w:val="4F6273C0"/>
    <w:rsid w:val="4F6351A5"/>
    <w:rsid w:val="4F642884"/>
    <w:rsid w:val="4F644633"/>
    <w:rsid w:val="4F672375"/>
    <w:rsid w:val="4F674123"/>
    <w:rsid w:val="4F6B6FE2"/>
    <w:rsid w:val="4F6C1739"/>
    <w:rsid w:val="4F6E725F"/>
    <w:rsid w:val="4F717B38"/>
    <w:rsid w:val="4F7417D5"/>
    <w:rsid w:val="4F74239C"/>
    <w:rsid w:val="4F781E8C"/>
    <w:rsid w:val="4F786330"/>
    <w:rsid w:val="4F7A3E56"/>
    <w:rsid w:val="4F7C1F7D"/>
    <w:rsid w:val="4F7D56F4"/>
    <w:rsid w:val="4F802315"/>
    <w:rsid w:val="4F813436"/>
    <w:rsid w:val="4F815A58"/>
    <w:rsid w:val="4F820F5D"/>
    <w:rsid w:val="4F824AB9"/>
    <w:rsid w:val="4F860A4D"/>
    <w:rsid w:val="4F8627FB"/>
    <w:rsid w:val="4F893200"/>
    <w:rsid w:val="4F89799A"/>
    <w:rsid w:val="4F8B4779"/>
    <w:rsid w:val="4F8B7E11"/>
    <w:rsid w:val="4F8C0F11"/>
    <w:rsid w:val="4F8C3B89"/>
    <w:rsid w:val="4F8C5937"/>
    <w:rsid w:val="4F8E7901"/>
    <w:rsid w:val="4F9111A0"/>
    <w:rsid w:val="4F952A3E"/>
    <w:rsid w:val="4F9547EC"/>
    <w:rsid w:val="4F9A091F"/>
    <w:rsid w:val="4F9B372A"/>
    <w:rsid w:val="4F9D5D96"/>
    <w:rsid w:val="4F9F38BD"/>
    <w:rsid w:val="4F9F566B"/>
    <w:rsid w:val="4FA113E3"/>
    <w:rsid w:val="4FA17635"/>
    <w:rsid w:val="4FA233AD"/>
    <w:rsid w:val="4FA26F09"/>
    <w:rsid w:val="4FA64C4B"/>
    <w:rsid w:val="4FA709C3"/>
    <w:rsid w:val="4FA90297"/>
    <w:rsid w:val="4FA9473B"/>
    <w:rsid w:val="4FAB4475"/>
    <w:rsid w:val="4FAC5905"/>
    <w:rsid w:val="4FAD5FDA"/>
    <w:rsid w:val="4FB01626"/>
    <w:rsid w:val="4FB04CDC"/>
    <w:rsid w:val="4FB07891"/>
    <w:rsid w:val="4FB21842"/>
    <w:rsid w:val="4FB235F0"/>
    <w:rsid w:val="4FB355BA"/>
    <w:rsid w:val="4FB569B7"/>
    <w:rsid w:val="4FB629B4"/>
    <w:rsid w:val="4FB76E58"/>
    <w:rsid w:val="4FB8672C"/>
    <w:rsid w:val="4FBA24A4"/>
    <w:rsid w:val="4FBA3171"/>
    <w:rsid w:val="4FBA6948"/>
    <w:rsid w:val="4FBC446F"/>
    <w:rsid w:val="4FBE01E7"/>
    <w:rsid w:val="4FBF79A9"/>
    <w:rsid w:val="4FBF7ABB"/>
    <w:rsid w:val="4FC11A85"/>
    <w:rsid w:val="4FC20091"/>
    <w:rsid w:val="4FC53CC7"/>
    <w:rsid w:val="4FC926E8"/>
    <w:rsid w:val="4FC96B8B"/>
    <w:rsid w:val="4FCB46B2"/>
    <w:rsid w:val="4FCD042A"/>
    <w:rsid w:val="4FCE6B88"/>
    <w:rsid w:val="4FD23C92"/>
    <w:rsid w:val="4FD25A40"/>
    <w:rsid w:val="4FD317B8"/>
    <w:rsid w:val="4FD5108C"/>
    <w:rsid w:val="4FD712A8"/>
    <w:rsid w:val="4FD93710"/>
    <w:rsid w:val="4FDD1AD8"/>
    <w:rsid w:val="4FDD1DD6"/>
    <w:rsid w:val="4FDD4733"/>
    <w:rsid w:val="4FDD6193"/>
    <w:rsid w:val="4FE17A31"/>
    <w:rsid w:val="4FE614EB"/>
    <w:rsid w:val="4FE65048"/>
    <w:rsid w:val="4FE811D3"/>
    <w:rsid w:val="4FE8244D"/>
    <w:rsid w:val="4FE92D8A"/>
    <w:rsid w:val="4FEB08B0"/>
    <w:rsid w:val="4FEE65F2"/>
    <w:rsid w:val="4FF27E90"/>
    <w:rsid w:val="4FF43C08"/>
    <w:rsid w:val="4FF534DD"/>
    <w:rsid w:val="4FF57980"/>
    <w:rsid w:val="4FF65C6A"/>
    <w:rsid w:val="4FF84D7B"/>
    <w:rsid w:val="4FF9121F"/>
    <w:rsid w:val="4FFA6D45"/>
    <w:rsid w:val="4FFC0D0F"/>
    <w:rsid w:val="4FFC486B"/>
    <w:rsid w:val="4FFF25AD"/>
    <w:rsid w:val="50011E81"/>
    <w:rsid w:val="50025BF9"/>
    <w:rsid w:val="50033E4B"/>
    <w:rsid w:val="500424AF"/>
    <w:rsid w:val="50047BC4"/>
    <w:rsid w:val="5006393C"/>
    <w:rsid w:val="5008118B"/>
    <w:rsid w:val="500E35FE"/>
    <w:rsid w:val="500E459E"/>
    <w:rsid w:val="500E45F0"/>
    <w:rsid w:val="500F0A42"/>
    <w:rsid w:val="50111D35"/>
    <w:rsid w:val="50111EE2"/>
    <w:rsid w:val="50137E07"/>
    <w:rsid w:val="501778F7"/>
    <w:rsid w:val="5019541D"/>
    <w:rsid w:val="501D717B"/>
    <w:rsid w:val="501E52BF"/>
    <w:rsid w:val="501F46C7"/>
    <w:rsid w:val="50212524"/>
    <w:rsid w:val="50212FC0"/>
    <w:rsid w:val="50213118"/>
    <w:rsid w:val="502344EE"/>
    <w:rsid w:val="502913D8"/>
    <w:rsid w:val="502B5150"/>
    <w:rsid w:val="502B6EFE"/>
    <w:rsid w:val="502E6618"/>
    <w:rsid w:val="50302767"/>
    <w:rsid w:val="50306C0B"/>
    <w:rsid w:val="50324731"/>
    <w:rsid w:val="503264DF"/>
    <w:rsid w:val="5033552D"/>
    <w:rsid w:val="50357D7D"/>
    <w:rsid w:val="503A35E5"/>
    <w:rsid w:val="503E30D6"/>
    <w:rsid w:val="503F0BFC"/>
    <w:rsid w:val="503F29AA"/>
    <w:rsid w:val="50406E4E"/>
    <w:rsid w:val="504306EC"/>
    <w:rsid w:val="50454464"/>
    <w:rsid w:val="50461F8A"/>
    <w:rsid w:val="5047059D"/>
    <w:rsid w:val="50492324"/>
    <w:rsid w:val="504A1A7A"/>
    <w:rsid w:val="504A7CCC"/>
    <w:rsid w:val="504C214F"/>
    <w:rsid w:val="504C63A6"/>
    <w:rsid w:val="504E494E"/>
    <w:rsid w:val="504F7091"/>
    <w:rsid w:val="50507B72"/>
    <w:rsid w:val="5051105B"/>
    <w:rsid w:val="50517375"/>
    <w:rsid w:val="5052092F"/>
    <w:rsid w:val="50521F46"/>
    <w:rsid w:val="50591CBD"/>
    <w:rsid w:val="505A1F60"/>
    <w:rsid w:val="505A77E4"/>
    <w:rsid w:val="505B3C87"/>
    <w:rsid w:val="505E1C29"/>
    <w:rsid w:val="505E72D4"/>
    <w:rsid w:val="50616DC4"/>
    <w:rsid w:val="50632B3C"/>
    <w:rsid w:val="506557EA"/>
    <w:rsid w:val="50660FDB"/>
    <w:rsid w:val="5066724F"/>
    <w:rsid w:val="50680152"/>
    <w:rsid w:val="50696D3C"/>
    <w:rsid w:val="50697A27"/>
    <w:rsid w:val="506A3ECB"/>
    <w:rsid w:val="506A5C79"/>
    <w:rsid w:val="506B3FDC"/>
    <w:rsid w:val="506B7C43"/>
    <w:rsid w:val="506F14E1"/>
    <w:rsid w:val="50700DB5"/>
    <w:rsid w:val="50713D8D"/>
    <w:rsid w:val="50715259"/>
    <w:rsid w:val="50722D7F"/>
    <w:rsid w:val="507408A5"/>
    <w:rsid w:val="50760AC1"/>
    <w:rsid w:val="507C3BFE"/>
    <w:rsid w:val="507C775A"/>
    <w:rsid w:val="507E1724"/>
    <w:rsid w:val="507E34D2"/>
    <w:rsid w:val="50827466"/>
    <w:rsid w:val="50830AE8"/>
    <w:rsid w:val="50854860"/>
    <w:rsid w:val="50854DD4"/>
    <w:rsid w:val="508807F5"/>
    <w:rsid w:val="508A1E77"/>
    <w:rsid w:val="508B5BEF"/>
    <w:rsid w:val="508F56DF"/>
    <w:rsid w:val="508F5F4A"/>
    <w:rsid w:val="50903205"/>
    <w:rsid w:val="5090545C"/>
    <w:rsid w:val="509203FA"/>
    <w:rsid w:val="50923421"/>
    <w:rsid w:val="50926B99"/>
    <w:rsid w:val="50926F7D"/>
    <w:rsid w:val="50940F47"/>
    <w:rsid w:val="50963E85"/>
    <w:rsid w:val="50966A6E"/>
    <w:rsid w:val="5099655E"/>
    <w:rsid w:val="509C1BAA"/>
    <w:rsid w:val="509C305B"/>
    <w:rsid w:val="509E1DC6"/>
    <w:rsid w:val="509E3B74"/>
    <w:rsid w:val="50A02E6C"/>
    <w:rsid w:val="50A078EC"/>
    <w:rsid w:val="50A15412"/>
    <w:rsid w:val="50A160CB"/>
    <w:rsid w:val="50A54F03"/>
    <w:rsid w:val="50A70C7B"/>
    <w:rsid w:val="50A76ECD"/>
    <w:rsid w:val="50A82C45"/>
    <w:rsid w:val="50A849F3"/>
    <w:rsid w:val="50A867A1"/>
    <w:rsid w:val="50AA42C7"/>
    <w:rsid w:val="50AD025B"/>
    <w:rsid w:val="50AD2009"/>
    <w:rsid w:val="50AF5D81"/>
    <w:rsid w:val="50B02961"/>
    <w:rsid w:val="50B05655"/>
    <w:rsid w:val="50B11220"/>
    <w:rsid w:val="50B24608"/>
    <w:rsid w:val="50B27620"/>
    <w:rsid w:val="50B37E52"/>
    <w:rsid w:val="50B52C6C"/>
    <w:rsid w:val="50B74C36"/>
    <w:rsid w:val="50B757D2"/>
    <w:rsid w:val="50BB64D4"/>
    <w:rsid w:val="50BC224C"/>
    <w:rsid w:val="50BE5FC4"/>
    <w:rsid w:val="50BE7D72"/>
    <w:rsid w:val="50C01D3C"/>
    <w:rsid w:val="50C51101"/>
    <w:rsid w:val="50C64E79"/>
    <w:rsid w:val="50C80BF1"/>
    <w:rsid w:val="50C8299F"/>
    <w:rsid w:val="50CA7DE7"/>
    <w:rsid w:val="50CC6933"/>
    <w:rsid w:val="50CD128E"/>
    <w:rsid w:val="50CD4459"/>
    <w:rsid w:val="50CF1F80"/>
    <w:rsid w:val="50D1080A"/>
    <w:rsid w:val="50D11C9A"/>
    <w:rsid w:val="50D13F4A"/>
    <w:rsid w:val="50D17AA6"/>
    <w:rsid w:val="50D2381E"/>
    <w:rsid w:val="50D47596"/>
    <w:rsid w:val="50D61560"/>
    <w:rsid w:val="50D61AAB"/>
    <w:rsid w:val="50D92DFE"/>
    <w:rsid w:val="50D94BAC"/>
    <w:rsid w:val="50DB448D"/>
    <w:rsid w:val="50DD469C"/>
    <w:rsid w:val="50E21CB3"/>
    <w:rsid w:val="50E357F0"/>
    <w:rsid w:val="50E35A2B"/>
    <w:rsid w:val="50E51193"/>
    <w:rsid w:val="50E517A3"/>
    <w:rsid w:val="50E6454A"/>
    <w:rsid w:val="50E84DEF"/>
    <w:rsid w:val="50EA0B67"/>
    <w:rsid w:val="50EB4D07"/>
    <w:rsid w:val="50EC0D83"/>
    <w:rsid w:val="50EF617E"/>
    <w:rsid w:val="50F10148"/>
    <w:rsid w:val="50F33BA4"/>
    <w:rsid w:val="50F419E6"/>
    <w:rsid w:val="50F45034"/>
    <w:rsid w:val="50F61095"/>
    <w:rsid w:val="50F934A0"/>
    <w:rsid w:val="50FD6AED"/>
    <w:rsid w:val="50FE0AB7"/>
    <w:rsid w:val="50FE2865"/>
    <w:rsid w:val="5100038B"/>
    <w:rsid w:val="5101379B"/>
    <w:rsid w:val="51022355"/>
    <w:rsid w:val="51024103"/>
    <w:rsid w:val="510319F7"/>
    <w:rsid w:val="51051E45"/>
    <w:rsid w:val="510734C7"/>
    <w:rsid w:val="51080F9B"/>
    <w:rsid w:val="51085492"/>
    <w:rsid w:val="51087240"/>
    <w:rsid w:val="510A120A"/>
    <w:rsid w:val="510A2FB8"/>
    <w:rsid w:val="510A3162"/>
    <w:rsid w:val="510C6D30"/>
    <w:rsid w:val="510D1493"/>
    <w:rsid w:val="510D4856"/>
    <w:rsid w:val="511019EE"/>
    <w:rsid w:val="511038F0"/>
    <w:rsid w:val="51112598"/>
    <w:rsid w:val="51121E6C"/>
    <w:rsid w:val="51155195"/>
    <w:rsid w:val="51155AAE"/>
    <w:rsid w:val="51167000"/>
    <w:rsid w:val="51172F9F"/>
    <w:rsid w:val="511931FB"/>
    <w:rsid w:val="5119769F"/>
    <w:rsid w:val="511A58F1"/>
    <w:rsid w:val="511B1920"/>
    <w:rsid w:val="511D0F3D"/>
    <w:rsid w:val="511D2CEB"/>
    <w:rsid w:val="511E4CB5"/>
    <w:rsid w:val="51200A2D"/>
    <w:rsid w:val="51213F31"/>
    <w:rsid w:val="512231FA"/>
    <w:rsid w:val="51244113"/>
    <w:rsid w:val="51252566"/>
    <w:rsid w:val="51255F55"/>
    <w:rsid w:val="51256043"/>
    <w:rsid w:val="51262BC5"/>
    <w:rsid w:val="5126542F"/>
    <w:rsid w:val="51273B6A"/>
    <w:rsid w:val="512978E2"/>
    <w:rsid w:val="512A18AC"/>
    <w:rsid w:val="512C1375"/>
    <w:rsid w:val="512C2F2E"/>
    <w:rsid w:val="512D51C5"/>
    <w:rsid w:val="512E314A"/>
    <w:rsid w:val="512F7372"/>
    <w:rsid w:val="513149E8"/>
    <w:rsid w:val="513169AE"/>
    <w:rsid w:val="51327BA7"/>
    <w:rsid w:val="51330760"/>
    <w:rsid w:val="5133250E"/>
    <w:rsid w:val="51347B3B"/>
    <w:rsid w:val="51360251"/>
    <w:rsid w:val="51361FFF"/>
    <w:rsid w:val="51363DAD"/>
    <w:rsid w:val="513D15DF"/>
    <w:rsid w:val="513D513B"/>
    <w:rsid w:val="513E2C61"/>
    <w:rsid w:val="51402E7D"/>
    <w:rsid w:val="51422D42"/>
    <w:rsid w:val="51426BF5"/>
    <w:rsid w:val="5144085B"/>
    <w:rsid w:val="5144296E"/>
    <w:rsid w:val="5147093D"/>
    <w:rsid w:val="514B72BE"/>
    <w:rsid w:val="514C1822"/>
    <w:rsid w:val="514C72EB"/>
    <w:rsid w:val="514E559A"/>
    <w:rsid w:val="5153495F"/>
    <w:rsid w:val="515406D7"/>
    <w:rsid w:val="51542485"/>
    <w:rsid w:val="51545631"/>
    <w:rsid w:val="51556929"/>
    <w:rsid w:val="5156444F"/>
    <w:rsid w:val="515661FD"/>
    <w:rsid w:val="51581F75"/>
    <w:rsid w:val="51595CED"/>
    <w:rsid w:val="515A3F3F"/>
    <w:rsid w:val="515E50B1"/>
    <w:rsid w:val="515F1555"/>
    <w:rsid w:val="515F3303"/>
    <w:rsid w:val="5160707C"/>
    <w:rsid w:val="516114E4"/>
    <w:rsid w:val="516155BC"/>
    <w:rsid w:val="51630116"/>
    <w:rsid w:val="51646B6C"/>
    <w:rsid w:val="51656440"/>
    <w:rsid w:val="516656CF"/>
    <w:rsid w:val="516A7EFA"/>
    <w:rsid w:val="516C3C72"/>
    <w:rsid w:val="516C5A20"/>
    <w:rsid w:val="51705511"/>
    <w:rsid w:val="51707B49"/>
    <w:rsid w:val="51713037"/>
    <w:rsid w:val="517174DB"/>
    <w:rsid w:val="51750D79"/>
    <w:rsid w:val="5175252B"/>
    <w:rsid w:val="517A638F"/>
    <w:rsid w:val="517A66F7"/>
    <w:rsid w:val="517C0CBD"/>
    <w:rsid w:val="517C60EC"/>
    <w:rsid w:val="518014CC"/>
    <w:rsid w:val="51815F11"/>
    <w:rsid w:val="5182713F"/>
    <w:rsid w:val="51840FBC"/>
    <w:rsid w:val="51844B18"/>
    <w:rsid w:val="5184720E"/>
    <w:rsid w:val="51870AAC"/>
    <w:rsid w:val="518A40F8"/>
    <w:rsid w:val="518B234A"/>
    <w:rsid w:val="518B68B4"/>
    <w:rsid w:val="518D64DB"/>
    <w:rsid w:val="518E5997"/>
    <w:rsid w:val="51907961"/>
    <w:rsid w:val="519311FF"/>
    <w:rsid w:val="51932FAD"/>
    <w:rsid w:val="51962A9D"/>
    <w:rsid w:val="51986815"/>
    <w:rsid w:val="519D5BAE"/>
    <w:rsid w:val="519E7FF6"/>
    <w:rsid w:val="51A056CA"/>
    <w:rsid w:val="51A11B6E"/>
    <w:rsid w:val="51A451BA"/>
    <w:rsid w:val="51A46F68"/>
    <w:rsid w:val="51A74CAA"/>
    <w:rsid w:val="51AB6549"/>
    <w:rsid w:val="51AC698D"/>
    <w:rsid w:val="51B01DB1"/>
    <w:rsid w:val="51B03B5F"/>
    <w:rsid w:val="51B318A1"/>
    <w:rsid w:val="51B353FD"/>
    <w:rsid w:val="51B51175"/>
    <w:rsid w:val="51B64EEE"/>
    <w:rsid w:val="51B7313F"/>
    <w:rsid w:val="51B93483"/>
    <w:rsid w:val="51BA2C30"/>
    <w:rsid w:val="51BA49DE"/>
    <w:rsid w:val="51BB2504"/>
    <w:rsid w:val="51BC69A8"/>
    <w:rsid w:val="51BD002A"/>
    <w:rsid w:val="51BF3DA2"/>
    <w:rsid w:val="51BF7BAC"/>
    <w:rsid w:val="51C23892"/>
    <w:rsid w:val="51C25640"/>
    <w:rsid w:val="51C770FB"/>
    <w:rsid w:val="51C92E73"/>
    <w:rsid w:val="51C94C21"/>
    <w:rsid w:val="51CB2747"/>
    <w:rsid w:val="51CB6BEB"/>
    <w:rsid w:val="51CC4711"/>
    <w:rsid w:val="51CF7D67"/>
    <w:rsid w:val="51D07D5D"/>
    <w:rsid w:val="51D114A4"/>
    <w:rsid w:val="51D11D27"/>
    <w:rsid w:val="51D15A56"/>
    <w:rsid w:val="51D320A3"/>
    <w:rsid w:val="51D3784E"/>
    <w:rsid w:val="51D41662"/>
    <w:rsid w:val="51DA0BDC"/>
    <w:rsid w:val="51DB6702"/>
    <w:rsid w:val="51DC16DA"/>
    <w:rsid w:val="51DC2BA6"/>
    <w:rsid w:val="51DD691E"/>
    <w:rsid w:val="51E11F6A"/>
    <w:rsid w:val="51E23E3F"/>
    <w:rsid w:val="51E25CE3"/>
    <w:rsid w:val="51E41A5B"/>
    <w:rsid w:val="51E43809"/>
    <w:rsid w:val="51E657D3"/>
    <w:rsid w:val="51E7154B"/>
    <w:rsid w:val="51E732F9"/>
    <w:rsid w:val="51E97071"/>
    <w:rsid w:val="51EC0F1C"/>
    <w:rsid w:val="51EE0B2B"/>
    <w:rsid w:val="51EE4687"/>
    <w:rsid w:val="51EF789D"/>
    <w:rsid w:val="51F003FF"/>
    <w:rsid w:val="51F223CA"/>
    <w:rsid w:val="51F36142"/>
    <w:rsid w:val="51F37EF0"/>
    <w:rsid w:val="51F53C68"/>
    <w:rsid w:val="51F55A16"/>
    <w:rsid w:val="51F577C4"/>
    <w:rsid w:val="51F7178E"/>
    <w:rsid w:val="51FA74D0"/>
    <w:rsid w:val="51FE2432"/>
    <w:rsid w:val="51FF0643"/>
    <w:rsid w:val="51FF4AE6"/>
    <w:rsid w:val="51FF6894"/>
    <w:rsid w:val="5201085F"/>
    <w:rsid w:val="5201260D"/>
    <w:rsid w:val="52067C23"/>
    <w:rsid w:val="52077265"/>
    <w:rsid w:val="520774F7"/>
    <w:rsid w:val="520914C1"/>
    <w:rsid w:val="520A3291"/>
    <w:rsid w:val="520A5BE6"/>
    <w:rsid w:val="520E0886"/>
    <w:rsid w:val="52120376"/>
    <w:rsid w:val="52151C14"/>
    <w:rsid w:val="52173BDE"/>
    <w:rsid w:val="52181704"/>
    <w:rsid w:val="52187956"/>
    <w:rsid w:val="521A1920"/>
    <w:rsid w:val="521A547C"/>
    <w:rsid w:val="521D2B8D"/>
    <w:rsid w:val="521E2410"/>
    <w:rsid w:val="522105B9"/>
    <w:rsid w:val="52214A5D"/>
    <w:rsid w:val="522221F9"/>
    <w:rsid w:val="522602C5"/>
    <w:rsid w:val="52262073"/>
    <w:rsid w:val="52291B63"/>
    <w:rsid w:val="522B58DB"/>
    <w:rsid w:val="522D1654"/>
    <w:rsid w:val="522D51B0"/>
    <w:rsid w:val="522E0F28"/>
    <w:rsid w:val="522E717A"/>
    <w:rsid w:val="52304CA0"/>
    <w:rsid w:val="523429E2"/>
    <w:rsid w:val="523522B6"/>
    <w:rsid w:val="52377DDC"/>
    <w:rsid w:val="52383B54"/>
    <w:rsid w:val="52397FF8"/>
    <w:rsid w:val="523F3135"/>
    <w:rsid w:val="523F4EE3"/>
    <w:rsid w:val="52426781"/>
    <w:rsid w:val="52466271"/>
    <w:rsid w:val="52481FEA"/>
    <w:rsid w:val="52483D98"/>
    <w:rsid w:val="52497B10"/>
    <w:rsid w:val="52500E9E"/>
    <w:rsid w:val="525070F0"/>
    <w:rsid w:val="52522E68"/>
    <w:rsid w:val="5252352D"/>
    <w:rsid w:val="5253273C"/>
    <w:rsid w:val="5254412B"/>
    <w:rsid w:val="52552958"/>
    <w:rsid w:val="52554706"/>
    <w:rsid w:val="5257047F"/>
    <w:rsid w:val="5257222D"/>
    <w:rsid w:val="52592449"/>
    <w:rsid w:val="525C3CE7"/>
    <w:rsid w:val="525E180D"/>
    <w:rsid w:val="525E2434"/>
    <w:rsid w:val="525F0C01"/>
    <w:rsid w:val="525F10E1"/>
    <w:rsid w:val="52621911"/>
    <w:rsid w:val="52635075"/>
    <w:rsid w:val="52642199"/>
    <w:rsid w:val="526910A0"/>
    <w:rsid w:val="526D37FE"/>
    <w:rsid w:val="526E7576"/>
    <w:rsid w:val="52701540"/>
    <w:rsid w:val="527032EE"/>
    <w:rsid w:val="5272350A"/>
    <w:rsid w:val="5273460B"/>
    <w:rsid w:val="52741030"/>
    <w:rsid w:val="52750905"/>
    <w:rsid w:val="52770B21"/>
    <w:rsid w:val="52796647"/>
    <w:rsid w:val="527B6CAF"/>
    <w:rsid w:val="527C6137"/>
    <w:rsid w:val="527D47C7"/>
    <w:rsid w:val="527E1EAF"/>
    <w:rsid w:val="527F3531"/>
    <w:rsid w:val="52804E7B"/>
    <w:rsid w:val="52812ED5"/>
    <w:rsid w:val="528154FB"/>
    <w:rsid w:val="52833022"/>
    <w:rsid w:val="528374C6"/>
    <w:rsid w:val="5285323E"/>
    <w:rsid w:val="52884ADC"/>
    <w:rsid w:val="5288688A"/>
    <w:rsid w:val="528943B0"/>
    <w:rsid w:val="528D3EA0"/>
    <w:rsid w:val="528F1410"/>
    <w:rsid w:val="528F19C6"/>
    <w:rsid w:val="52900EEF"/>
    <w:rsid w:val="52927709"/>
    <w:rsid w:val="52946FDD"/>
    <w:rsid w:val="52952D55"/>
    <w:rsid w:val="52972F71"/>
    <w:rsid w:val="529B3185"/>
    <w:rsid w:val="529E47AA"/>
    <w:rsid w:val="529E60AD"/>
    <w:rsid w:val="529F5982"/>
    <w:rsid w:val="52A01E26"/>
    <w:rsid w:val="52A35472"/>
    <w:rsid w:val="52A511EA"/>
    <w:rsid w:val="52A82A88"/>
    <w:rsid w:val="52AA2CA4"/>
    <w:rsid w:val="52AF2069"/>
    <w:rsid w:val="52B23907"/>
    <w:rsid w:val="52B24B47"/>
    <w:rsid w:val="52B753C1"/>
    <w:rsid w:val="52B82387"/>
    <w:rsid w:val="52BA32D9"/>
    <w:rsid w:val="52BB6C5F"/>
    <w:rsid w:val="52BB733A"/>
    <w:rsid w:val="52BE04FE"/>
    <w:rsid w:val="52BE30EA"/>
    <w:rsid w:val="52BF7DD2"/>
    <w:rsid w:val="52C04276"/>
    <w:rsid w:val="52C13B25"/>
    <w:rsid w:val="52C33D66"/>
    <w:rsid w:val="52C5188C"/>
    <w:rsid w:val="52C673B2"/>
    <w:rsid w:val="52C7058C"/>
    <w:rsid w:val="52C75604"/>
    <w:rsid w:val="52C76699"/>
    <w:rsid w:val="52C97C12"/>
    <w:rsid w:val="52CA29FF"/>
    <w:rsid w:val="52CA50F4"/>
    <w:rsid w:val="52CC2C1B"/>
    <w:rsid w:val="52CD0741"/>
    <w:rsid w:val="52CF270B"/>
    <w:rsid w:val="52CF6267"/>
    <w:rsid w:val="52D11560"/>
    <w:rsid w:val="52D27B05"/>
    <w:rsid w:val="52D4387D"/>
    <w:rsid w:val="52D47EAB"/>
    <w:rsid w:val="52D61371"/>
    <w:rsid w:val="52D626E9"/>
    <w:rsid w:val="52D675F5"/>
    <w:rsid w:val="52D7511B"/>
    <w:rsid w:val="52D928C3"/>
    <w:rsid w:val="52D93E52"/>
    <w:rsid w:val="52D95337"/>
    <w:rsid w:val="52DA377C"/>
    <w:rsid w:val="52DC5653"/>
    <w:rsid w:val="52DC6BD6"/>
    <w:rsid w:val="52E00CEC"/>
    <w:rsid w:val="52E20057"/>
    <w:rsid w:val="52E350B6"/>
    <w:rsid w:val="52E55A8A"/>
    <w:rsid w:val="52E57838"/>
    <w:rsid w:val="52E635B0"/>
    <w:rsid w:val="52E837CD"/>
    <w:rsid w:val="52E8557B"/>
    <w:rsid w:val="52EB0BC7"/>
    <w:rsid w:val="52EC33C3"/>
    <w:rsid w:val="52ED2B91"/>
    <w:rsid w:val="52ED493F"/>
    <w:rsid w:val="52F12681"/>
    <w:rsid w:val="52F156CD"/>
    <w:rsid w:val="52F4603B"/>
    <w:rsid w:val="52F61A46"/>
    <w:rsid w:val="52F91536"/>
    <w:rsid w:val="52FA4256"/>
    <w:rsid w:val="53004672"/>
    <w:rsid w:val="530103EA"/>
    <w:rsid w:val="53043E75"/>
    <w:rsid w:val="5304402B"/>
    <w:rsid w:val="53051C89"/>
    <w:rsid w:val="53065A01"/>
    <w:rsid w:val="53073C53"/>
    <w:rsid w:val="53083527"/>
    <w:rsid w:val="530D6D8F"/>
    <w:rsid w:val="530E3233"/>
    <w:rsid w:val="530F6FAB"/>
    <w:rsid w:val="53101AD7"/>
    <w:rsid w:val="5311062D"/>
    <w:rsid w:val="53136C8E"/>
    <w:rsid w:val="53157440"/>
    <w:rsid w:val="531620E8"/>
    <w:rsid w:val="53167C94"/>
    <w:rsid w:val="53195734"/>
    <w:rsid w:val="531B5950"/>
    <w:rsid w:val="531D5224"/>
    <w:rsid w:val="53226CDE"/>
    <w:rsid w:val="5325057D"/>
    <w:rsid w:val="5325232B"/>
    <w:rsid w:val="532540D9"/>
    <w:rsid w:val="532742F5"/>
    <w:rsid w:val="53281E1B"/>
    <w:rsid w:val="532A0CDB"/>
    <w:rsid w:val="532A16EF"/>
    <w:rsid w:val="532A5B93"/>
    <w:rsid w:val="532C36B9"/>
    <w:rsid w:val="532D4A8B"/>
    <w:rsid w:val="532F28FC"/>
    <w:rsid w:val="53312A7E"/>
    <w:rsid w:val="53316F22"/>
    <w:rsid w:val="533267F6"/>
    <w:rsid w:val="533407C0"/>
    <w:rsid w:val="5334431C"/>
    <w:rsid w:val="533646AD"/>
    <w:rsid w:val="53373E0C"/>
    <w:rsid w:val="533802B0"/>
    <w:rsid w:val="53381B9E"/>
    <w:rsid w:val="533860E5"/>
    <w:rsid w:val="5339476F"/>
    <w:rsid w:val="53397B84"/>
    <w:rsid w:val="533B1B4E"/>
    <w:rsid w:val="533B38FC"/>
    <w:rsid w:val="533D58C6"/>
    <w:rsid w:val="53427C80"/>
    <w:rsid w:val="534529CD"/>
    <w:rsid w:val="53486019"/>
    <w:rsid w:val="53487DC7"/>
    <w:rsid w:val="534B6B84"/>
    <w:rsid w:val="534C3D5B"/>
    <w:rsid w:val="534C78B7"/>
    <w:rsid w:val="534E7AD3"/>
    <w:rsid w:val="534F1156"/>
    <w:rsid w:val="53530C46"/>
    <w:rsid w:val="535350EA"/>
    <w:rsid w:val="535624E4"/>
    <w:rsid w:val="53563C96"/>
    <w:rsid w:val="5356597F"/>
    <w:rsid w:val="535844AE"/>
    <w:rsid w:val="535C3096"/>
    <w:rsid w:val="535D1AC5"/>
    <w:rsid w:val="535E7368"/>
    <w:rsid w:val="535E75EB"/>
    <w:rsid w:val="53620E89"/>
    <w:rsid w:val="53623A52"/>
    <w:rsid w:val="536270DB"/>
    <w:rsid w:val="53636327"/>
    <w:rsid w:val="53670B95"/>
    <w:rsid w:val="53672943"/>
    <w:rsid w:val="536C61AC"/>
    <w:rsid w:val="536C7F5A"/>
    <w:rsid w:val="537137C2"/>
    <w:rsid w:val="53715570"/>
    <w:rsid w:val="5371731E"/>
    <w:rsid w:val="5373753A"/>
    <w:rsid w:val="53760DD8"/>
    <w:rsid w:val="53792400"/>
    <w:rsid w:val="537B019D"/>
    <w:rsid w:val="537D2167"/>
    <w:rsid w:val="537D3F15"/>
    <w:rsid w:val="538057B3"/>
    <w:rsid w:val="53807561"/>
    <w:rsid w:val="53834143"/>
    <w:rsid w:val="53862715"/>
    <w:rsid w:val="5386726D"/>
    <w:rsid w:val="538708F0"/>
    <w:rsid w:val="53874D93"/>
    <w:rsid w:val="53875695"/>
    <w:rsid w:val="53876B42"/>
    <w:rsid w:val="538A5B0B"/>
    <w:rsid w:val="538C5F06"/>
    <w:rsid w:val="538F3C48"/>
    <w:rsid w:val="5391176E"/>
    <w:rsid w:val="539179C0"/>
    <w:rsid w:val="5394125E"/>
    <w:rsid w:val="53946809"/>
    <w:rsid w:val="539574B0"/>
    <w:rsid w:val="53984ED9"/>
    <w:rsid w:val="53990623"/>
    <w:rsid w:val="539A6875"/>
    <w:rsid w:val="539B1FD4"/>
    <w:rsid w:val="539B5400"/>
    <w:rsid w:val="539D0113"/>
    <w:rsid w:val="539F3E8B"/>
    <w:rsid w:val="53A0797D"/>
    <w:rsid w:val="53A07C03"/>
    <w:rsid w:val="53A26D18"/>
    <w:rsid w:val="53A5346C"/>
    <w:rsid w:val="53A54A39"/>
    <w:rsid w:val="53A61FCB"/>
    <w:rsid w:val="53A70F92"/>
    <w:rsid w:val="53A72D40"/>
    <w:rsid w:val="53A92F5C"/>
    <w:rsid w:val="53A94D0A"/>
    <w:rsid w:val="53B10062"/>
    <w:rsid w:val="53B13BBE"/>
    <w:rsid w:val="53B37937"/>
    <w:rsid w:val="53B459D2"/>
    <w:rsid w:val="53B51901"/>
    <w:rsid w:val="53B65679"/>
    <w:rsid w:val="53B67427"/>
    <w:rsid w:val="53B83207"/>
    <w:rsid w:val="53B86CFB"/>
    <w:rsid w:val="53B92A73"/>
    <w:rsid w:val="53BD2563"/>
    <w:rsid w:val="53BD406A"/>
    <w:rsid w:val="53BF452D"/>
    <w:rsid w:val="53BF62DB"/>
    <w:rsid w:val="53C02053"/>
    <w:rsid w:val="53C0215B"/>
    <w:rsid w:val="53C140E5"/>
    <w:rsid w:val="53C27B7A"/>
    <w:rsid w:val="53C30726"/>
    <w:rsid w:val="53C41B44"/>
    <w:rsid w:val="53C51418"/>
    <w:rsid w:val="53C733E2"/>
    <w:rsid w:val="53CC27A6"/>
    <w:rsid w:val="53CC2939"/>
    <w:rsid w:val="53CC67DD"/>
    <w:rsid w:val="53CD71B7"/>
    <w:rsid w:val="53CE651E"/>
    <w:rsid w:val="53D02297"/>
    <w:rsid w:val="53D12D4D"/>
    <w:rsid w:val="53D14261"/>
    <w:rsid w:val="53D1600F"/>
    <w:rsid w:val="53D17DBD"/>
    <w:rsid w:val="53D53D51"/>
    <w:rsid w:val="53D8114B"/>
    <w:rsid w:val="53DA1367"/>
    <w:rsid w:val="53DA3115"/>
    <w:rsid w:val="53DB785D"/>
    <w:rsid w:val="53DC50DF"/>
    <w:rsid w:val="53DD0E57"/>
    <w:rsid w:val="53DD2C05"/>
    <w:rsid w:val="53DE791F"/>
    <w:rsid w:val="53E051BF"/>
    <w:rsid w:val="53E2021C"/>
    <w:rsid w:val="53E43F94"/>
    <w:rsid w:val="53E45634"/>
    <w:rsid w:val="53E47AF0"/>
    <w:rsid w:val="53EA0E7E"/>
    <w:rsid w:val="53EB5322"/>
    <w:rsid w:val="53EE108C"/>
    <w:rsid w:val="53F005F3"/>
    <w:rsid w:val="53F00B8B"/>
    <w:rsid w:val="53F1220D"/>
    <w:rsid w:val="53F32429"/>
    <w:rsid w:val="53F341D7"/>
    <w:rsid w:val="53F53A19"/>
    <w:rsid w:val="53F561A1"/>
    <w:rsid w:val="53F57F4F"/>
    <w:rsid w:val="53F65A75"/>
    <w:rsid w:val="53F65BA6"/>
    <w:rsid w:val="53FA37B7"/>
    <w:rsid w:val="53FA5565"/>
    <w:rsid w:val="540000E8"/>
    <w:rsid w:val="540208BE"/>
    <w:rsid w:val="54040192"/>
    <w:rsid w:val="540463E4"/>
    <w:rsid w:val="54065CB8"/>
    <w:rsid w:val="54085ED4"/>
    <w:rsid w:val="54091C4C"/>
    <w:rsid w:val="540A4CC2"/>
    <w:rsid w:val="540B7773"/>
    <w:rsid w:val="540C4451"/>
    <w:rsid w:val="540D34EB"/>
    <w:rsid w:val="540E2DBF"/>
    <w:rsid w:val="5411465D"/>
    <w:rsid w:val="54120B01"/>
    <w:rsid w:val="541303D5"/>
    <w:rsid w:val="5415414D"/>
    <w:rsid w:val="54177EC5"/>
    <w:rsid w:val="54187B75"/>
    <w:rsid w:val="54187D2B"/>
    <w:rsid w:val="5419426E"/>
    <w:rsid w:val="541A1764"/>
    <w:rsid w:val="541A4865"/>
    <w:rsid w:val="541A5C08"/>
    <w:rsid w:val="541C1980"/>
    <w:rsid w:val="541C78C1"/>
    <w:rsid w:val="541D3002"/>
    <w:rsid w:val="541E2C15"/>
    <w:rsid w:val="541F321E"/>
    <w:rsid w:val="54210B62"/>
    <w:rsid w:val="54210D44"/>
    <w:rsid w:val="54216F96"/>
    <w:rsid w:val="542720D3"/>
    <w:rsid w:val="542A1C14"/>
    <w:rsid w:val="542B7096"/>
    <w:rsid w:val="542D1CD6"/>
    <w:rsid w:val="542E3461"/>
    <w:rsid w:val="54300F87"/>
    <w:rsid w:val="54310A6E"/>
    <w:rsid w:val="54316AAD"/>
    <w:rsid w:val="54322F51"/>
    <w:rsid w:val="54324CFF"/>
    <w:rsid w:val="54352A41"/>
    <w:rsid w:val="5435497A"/>
    <w:rsid w:val="5435659E"/>
    <w:rsid w:val="54360404"/>
    <w:rsid w:val="54384218"/>
    <w:rsid w:val="5438608E"/>
    <w:rsid w:val="543A3BB4"/>
    <w:rsid w:val="543C16DA"/>
    <w:rsid w:val="543F566E"/>
    <w:rsid w:val="543F741C"/>
    <w:rsid w:val="54422A68"/>
    <w:rsid w:val="54435882"/>
    <w:rsid w:val="54444A33"/>
    <w:rsid w:val="5444625D"/>
    <w:rsid w:val="54464F28"/>
    <w:rsid w:val="544762D1"/>
    <w:rsid w:val="5449029B"/>
    <w:rsid w:val="54493DF7"/>
    <w:rsid w:val="5449519D"/>
    <w:rsid w:val="544B4013"/>
    <w:rsid w:val="544B7B6F"/>
    <w:rsid w:val="544D38E7"/>
    <w:rsid w:val="5455279C"/>
    <w:rsid w:val="54576514"/>
    <w:rsid w:val="545804DE"/>
    <w:rsid w:val="5458228C"/>
    <w:rsid w:val="545D78A2"/>
    <w:rsid w:val="545F186C"/>
    <w:rsid w:val="546155E5"/>
    <w:rsid w:val="54617393"/>
    <w:rsid w:val="54624EB9"/>
    <w:rsid w:val="5463135D"/>
    <w:rsid w:val="54640C31"/>
    <w:rsid w:val="54680721"/>
    <w:rsid w:val="54684BC5"/>
    <w:rsid w:val="546A7F01"/>
    <w:rsid w:val="546B6463"/>
    <w:rsid w:val="546D3F89"/>
    <w:rsid w:val="54714BDF"/>
    <w:rsid w:val="5471702F"/>
    <w:rsid w:val="54726F7A"/>
    <w:rsid w:val="547277F2"/>
    <w:rsid w:val="547370C6"/>
    <w:rsid w:val="54745318"/>
    <w:rsid w:val="547806F9"/>
    <w:rsid w:val="547846DC"/>
    <w:rsid w:val="547C241E"/>
    <w:rsid w:val="547C41CC"/>
    <w:rsid w:val="547E7F44"/>
    <w:rsid w:val="547F54C2"/>
    <w:rsid w:val="548117E3"/>
    <w:rsid w:val="54812C33"/>
    <w:rsid w:val="54813591"/>
    <w:rsid w:val="5482532E"/>
    <w:rsid w:val="54837309"/>
    <w:rsid w:val="5485022E"/>
    <w:rsid w:val="54857525"/>
    <w:rsid w:val="54893D42"/>
    <w:rsid w:val="548C31C2"/>
    <w:rsid w:val="548D226F"/>
    <w:rsid w:val="548D462B"/>
    <w:rsid w:val="548E3F00"/>
    <w:rsid w:val="548E5CAE"/>
    <w:rsid w:val="548F2152"/>
    <w:rsid w:val="549332C4"/>
    <w:rsid w:val="549459BA"/>
    <w:rsid w:val="549534E0"/>
    <w:rsid w:val="5495528E"/>
    <w:rsid w:val="5495703C"/>
    <w:rsid w:val="54994CF6"/>
    <w:rsid w:val="54996B2C"/>
    <w:rsid w:val="549A4653"/>
    <w:rsid w:val="549C03CB"/>
    <w:rsid w:val="549C486F"/>
    <w:rsid w:val="549D4B07"/>
    <w:rsid w:val="549F610D"/>
    <w:rsid w:val="54A0435F"/>
    <w:rsid w:val="54A11E85"/>
    <w:rsid w:val="54A274E9"/>
    <w:rsid w:val="54A31759"/>
    <w:rsid w:val="54A656ED"/>
    <w:rsid w:val="54A6749B"/>
    <w:rsid w:val="54A84FC1"/>
    <w:rsid w:val="54A92AE8"/>
    <w:rsid w:val="54AD082A"/>
    <w:rsid w:val="54AD4386"/>
    <w:rsid w:val="54AD6A7C"/>
    <w:rsid w:val="54AE00FE"/>
    <w:rsid w:val="54AF45A2"/>
    <w:rsid w:val="54AF5068"/>
    <w:rsid w:val="54B0031A"/>
    <w:rsid w:val="54B01AED"/>
    <w:rsid w:val="54B020C8"/>
    <w:rsid w:val="54B03E76"/>
    <w:rsid w:val="54B12F7D"/>
    <w:rsid w:val="54B17344"/>
    <w:rsid w:val="54B24092"/>
    <w:rsid w:val="54B576DE"/>
    <w:rsid w:val="54B8170F"/>
    <w:rsid w:val="54BF230B"/>
    <w:rsid w:val="54C142D5"/>
    <w:rsid w:val="54C33BA9"/>
    <w:rsid w:val="54C53DC5"/>
    <w:rsid w:val="54C55B73"/>
    <w:rsid w:val="54C65448"/>
    <w:rsid w:val="54C73B0D"/>
    <w:rsid w:val="54C91C49"/>
    <w:rsid w:val="54C94F38"/>
    <w:rsid w:val="54CD2C7A"/>
    <w:rsid w:val="54CF69F2"/>
    <w:rsid w:val="54D47B64"/>
    <w:rsid w:val="54D67D81"/>
    <w:rsid w:val="54D73556"/>
    <w:rsid w:val="54D73AF9"/>
    <w:rsid w:val="54D933CD"/>
    <w:rsid w:val="54D9517B"/>
    <w:rsid w:val="54DF48B9"/>
    <w:rsid w:val="54E0475B"/>
    <w:rsid w:val="54E104D3"/>
    <w:rsid w:val="54E3424B"/>
    <w:rsid w:val="54E4729B"/>
    <w:rsid w:val="54E56216"/>
    <w:rsid w:val="54E63D3C"/>
    <w:rsid w:val="54E83610"/>
    <w:rsid w:val="54E979F3"/>
    <w:rsid w:val="54EA03CE"/>
    <w:rsid w:val="54EA382C"/>
    <w:rsid w:val="54EA7388"/>
    <w:rsid w:val="54EB4EAE"/>
    <w:rsid w:val="54ED6E78"/>
    <w:rsid w:val="54F41FB5"/>
    <w:rsid w:val="54F616B0"/>
    <w:rsid w:val="54F71AA5"/>
    <w:rsid w:val="54FC70BB"/>
    <w:rsid w:val="55005333"/>
    <w:rsid w:val="55012924"/>
    <w:rsid w:val="550146D2"/>
    <w:rsid w:val="550348EE"/>
    <w:rsid w:val="550444A6"/>
    <w:rsid w:val="550541C2"/>
    <w:rsid w:val="55055F70"/>
    <w:rsid w:val="55061CE8"/>
    <w:rsid w:val="55067A64"/>
    <w:rsid w:val="55085A60"/>
    <w:rsid w:val="550A17D8"/>
    <w:rsid w:val="550B5550"/>
    <w:rsid w:val="550D64A7"/>
    <w:rsid w:val="550D751A"/>
    <w:rsid w:val="550F6DEF"/>
    <w:rsid w:val="55144405"/>
    <w:rsid w:val="55164621"/>
    <w:rsid w:val="551835BA"/>
    <w:rsid w:val="55197C6D"/>
    <w:rsid w:val="551B414B"/>
    <w:rsid w:val="551C775D"/>
    <w:rsid w:val="551E1E45"/>
    <w:rsid w:val="551E34D6"/>
    <w:rsid w:val="55214D74"/>
    <w:rsid w:val="55216B22"/>
    <w:rsid w:val="55236D3E"/>
    <w:rsid w:val="552503C0"/>
    <w:rsid w:val="55254864"/>
    <w:rsid w:val="552704DE"/>
    <w:rsid w:val="55296F88"/>
    <w:rsid w:val="552C5BF2"/>
    <w:rsid w:val="552D196B"/>
    <w:rsid w:val="552D2D4B"/>
    <w:rsid w:val="552D3719"/>
    <w:rsid w:val="552D54C7"/>
    <w:rsid w:val="552F56E3"/>
    <w:rsid w:val="55306D65"/>
    <w:rsid w:val="55326F81"/>
    <w:rsid w:val="55342CF9"/>
    <w:rsid w:val="55344AA7"/>
    <w:rsid w:val="55353C11"/>
    <w:rsid w:val="55357863"/>
    <w:rsid w:val="55357F85"/>
    <w:rsid w:val="553920BD"/>
    <w:rsid w:val="55393E6B"/>
    <w:rsid w:val="553B4087"/>
    <w:rsid w:val="553C395C"/>
    <w:rsid w:val="553D7E00"/>
    <w:rsid w:val="553E76D4"/>
    <w:rsid w:val="554271C4"/>
    <w:rsid w:val="55436A98"/>
    <w:rsid w:val="55447CDF"/>
    <w:rsid w:val="55456CB4"/>
    <w:rsid w:val="554B5B7F"/>
    <w:rsid w:val="554B73AC"/>
    <w:rsid w:val="554D5B69"/>
    <w:rsid w:val="554E244F"/>
    <w:rsid w:val="554F18E1"/>
    <w:rsid w:val="554F368F"/>
    <w:rsid w:val="55500B7A"/>
    <w:rsid w:val="55515659"/>
    <w:rsid w:val="5552317F"/>
    <w:rsid w:val="55524F2D"/>
    <w:rsid w:val="55540CA5"/>
    <w:rsid w:val="55562C6F"/>
    <w:rsid w:val="55564A1D"/>
    <w:rsid w:val="55570796"/>
    <w:rsid w:val="55572544"/>
    <w:rsid w:val="555869E7"/>
    <w:rsid w:val="555B0286"/>
    <w:rsid w:val="555B07C2"/>
    <w:rsid w:val="555B2034"/>
    <w:rsid w:val="555C085E"/>
    <w:rsid w:val="555C7B5A"/>
    <w:rsid w:val="555D2250"/>
    <w:rsid w:val="555E38D2"/>
    <w:rsid w:val="555E7D76"/>
    <w:rsid w:val="556233C2"/>
    <w:rsid w:val="55630EE8"/>
    <w:rsid w:val="55652EB2"/>
    <w:rsid w:val="55674E7D"/>
    <w:rsid w:val="556829A3"/>
    <w:rsid w:val="556A04C9"/>
    <w:rsid w:val="556C7815"/>
    <w:rsid w:val="556E4789"/>
    <w:rsid w:val="556F1F83"/>
    <w:rsid w:val="556F3D31"/>
    <w:rsid w:val="556F62E0"/>
    <w:rsid w:val="55705593"/>
    <w:rsid w:val="5572737D"/>
    <w:rsid w:val="55727854"/>
    <w:rsid w:val="55733821"/>
    <w:rsid w:val="55733F14"/>
    <w:rsid w:val="55735B09"/>
    <w:rsid w:val="55747599"/>
    <w:rsid w:val="55760C1C"/>
    <w:rsid w:val="55766E6E"/>
    <w:rsid w:val="55780E38"/>
    <w:rsid w:val="5579070C"/>
    <w:rsid w:val="5579695E"/>
    <w:rsid w:val="557B26D6"/>
    <w:rsid w:val="557E5D22"/>
    <w:rsid w:val="55825812"/>
    <w:rsid w:val="558318CB"/>
    <w:rsid w:val="55833A09"/>
    <w:rsid w:val="55886BA1"/>
    <w:rsid w:val="558A0EE7"/>
    <w:rsid w:val="558A2919"/>
    <w:rsid w:val="558A46C7"/>
    <w:rsid w:val="558E2409"/>
    <w:rsid w:val="55914FEE"/>
    <w:rsid w:val="559612BE"/>
    <w:rsid w:val="55990DAE"/>
    <w:rsid w:val="55992B5C"/>
    <w:rsid w:val="559B0682"/>
    <w:rsid w:val="559C353C"/>
    <w:rsid w:val="559D43FA"/>
    <w:rsid w:val="559E0172"/>
    <w:rsid w:val="559E5792"/>
    <w:rsid w:val="559F4616"/>
    <w:rsid w:val="55A51501"/>
    <w:rsid w:val="55A77192"/>
    <w:rsid w:val="55A97243"/>
    <w:rsid w:val="55AF2380"/>
    <w:rsid w:val="55AF412E"/>
    <w:rsid w:val="55B300C2"/>
    <w:rsid w:val="55B47996"/>
    <w:rsid w:val="55B55BE8"/>
    <w:rsid w:val="55B6370E"/>
    <w:rsid w:val="55B728F9"/>
    <w:rsid w:val="55B94FAC"/>
    <w:rsid w:val="55BA127A"/>
    <w:rsid w:val="55BB270A"/>
    <w:rsid w:val="55BC3B9A"/>
    <w:rsid w:val="55BD2CEE"/>
    <w:rsid w:val="55BD4A9D"/>
    <w:rsid w:val="55BD502A"/>
    <w:rsid w:val="55BF6A67"/>
    <w:rsid w:val="55C027DF"/>
    <w:rsid w:val="55C461B2"/>
    <w:rsid w:val="55C53951"/>
    <w:rsid w:val="55C7591B"/>
    <w:rsid w:val="55C951EF"/>
    <w:rsid w:val="55CA5A69"/>
    <w:rsid w:val="55CC1183"/>
    <w:rsid w:val="55CC2F32"/>
    <w:rsid w:val="55D10548"/>
    <w:rsid w:val="55D41DE6"/>
    <w:rsid w:val="55D50038"/>
    <w:rsid w:val="55DA73FC"/>
    <w:rsid w:val="55DB3175"/>
    <w:rsid w:val="55DB4F23"/>
    <w:rsid w:val="55DD0C9B"/>
    <w:rsid w:val="55DF4A13"/>
    <w:rsid w:val="55E01B05"/>
    <w:rsid w:val="55E02539"/>
    <w:rsid w:val="55E62245"/>
    <w:rsid w:val="55E738C7"/>
    <w:rsid w:val="55E97640"/>
    <w:rsid w:val="55EA33B8"/>
    <w:rsid w:val="55EB160A"/>
    <w:rsid w:val="55EB785C"/>
    <w:rsid w:val="55EE2EA8"/>
    <w:rsid w:val="55EE4C56"/>
    <w:rsid w:val="55EF09CE"/>
    <w:rsid w:val="55F06C20"/>
    <w:rsid w:val="55F36710"/>
    <w:rsid w:val="55F52488"/>
    <w:rsid w:val="55F67FAE"/>
    <w:rsid w:val="55F77D8C"/>
    <w:rsid w:val="55F83D27"/>
    <w:rsid w:val="55F926AC"/>
    <w:rsid w:val="55FB55C5"/>
    <w:rsid w:val="55FC6DA9"/>
    <w:rsid w:val="55FD758F"/>
    <w:rsid w:val="560222CE"/>
    <w:rsid w:val="56024BA5"/>
    <w:rsid w:val="560426CB"/>
    <w:rsid w:val="56042D22"/>
    <w:rsid w:val="56066443"/>
    <w:rsid w:val="56097CE2"/>
    <w:rsid w:val="560C77D2"/>
    <w:rsid w:val="56116B96"/>
    <w:rsid w:val="5612303A"/>
    <w:rsid w:val="56151AED"/>
    <w:rsid w:val="561548D9"/>
    <w:rsid w:val="56156687"/>
    <w:rsid w:val="561623FF"/>
    <w:rsid w:val="561A1EEF"/>
    <w:rsid w:val="561A5A4B"/>
    <w:rsid w:val="561B7A15"/>
    <w:rsid w:val="561C5C67"/>
    <w:rsid w:val="561D006E"/>
    <w:rsid w:val="561D2654"/>
    <w:rsid w:val="561D378D"/>
    <w:rsid w:val="561F43C7"/>
    <w:rsid w:val="56215531"/>
    <w:rsid w:val="56260894"/>
    <w:rsid w:val="56270168"/>
    <w:rsid w:val="5627460C"/>
    <w:rsid w:val="562803B5"/>
    <w:rsid w:val="5629178B"/>
    <w:rsid w:val="56292132"/>
    <w:rsid w:val="56293EE0"/>
    <w:rsid w:val="562B40FC"/>
    <w:rsid w:val="562C010C"/>
    <w:rsid w:val="5630526E"/>
    <w:rsid w:val="56312D95"/>
    <w:rsid w:val="56327239"/>
    <w:rsid w:val="56331C6F"/>
    <w:rsid w:val="56334D5F"/>
    <w:rsid w:val="56336B0D"/>
    <w:rsid w:val="563611BE"/>
    <w:rsid w:val="56383ADE"/>
    <w:rsid w:val="563A433F"/>
    <w:rsid w:val="563D798B"/>
    <w:rsid w:val="563F3703"/>
    <w:rsid w:val="563F79D8"/>
    <w:rsid w:val="564156CE"/>
    <w:rsid w:val="564231F4"/>
    <w:rsid w:val="56426CE9"/>
    <w:rsid w:val="56446F6C"/>
    <w:rsid w:val="56464C3E"/>
    <w:rsid w:val="564927D4"/>
    <w:rsid w:val="56494582"/>
    <w:rsid w:val="564B02FA"/>
    <w:rsid w:val="564B20A8"/>
    <w:rsid w:val="564E1B99"/>
    <w:rsid w:val="564E304F"/>
    <w:rsid w:val="564E3947"/>
    <w:rsid w:val="56503B63"/>
    <w:rsid w:val="565076BF"/>
    <w:rsid w:val="565B1A48"/>
    <w:rsid w:val="565C2507"/>
    <w:rsid w:val="565C59BC"/>
    <w:rsid w:val="565C6063"/>
    <w:rsid w:val="565E4A50"/>
    <w:rsid w:val="565F3DA6"/>
    <w:rsid w:val="566118CC"/>
    <w:rsid w:val="56625644"/>
    <w:rsid w:val="56665134"/>
    <w:rsid w:val="56680EAC"/>
    <w:rsid w:val="566C29CD"/>
    <w:rsid w:val="566D6A2E"/>
    <w:rsid w:val="566E3FE9"/>
    <w:rsid w:val="56701B0F"/>
    <w:rsid w:val="56705FB3"/>
    <w:rsid w:val="56707D61"/>
    <w:rsid w:val="567233E3"/>
    <w:rsid w:val="56736C00"/>
    <w:rsid w:val="56757125"/>
    <w:rsid w:val="56772E9D"/>
    <w:rsid w:val="56794E67"/>
    <w:rsid w:val="567C04B4"/>
    <w:rsid w:val="567C5B8B"/>
    <w:rsid w:val="567D422C"/>
    <w:rsid w:val="567F7FA4"/>
    <w:rsid w:val="56811F6E"/>
    <w:rsid w:val="56847368"/>
    <w:rsid w:val="56870A65"/>
    <w:rsid w:val="56876E58"/>
    <w:rsid w:val="568832FC"/>
    <w:rsid w:val="568850AA"/>
    <w:rsid w:val="56892BD1"/>
    <w:rsid w:val="56893E7C"/>
    <w:rsid w:val="568B06F7"/>
    <w:rsid w:val="568F468B"/>
    <w:rsid w:val="56905D0D"/>
    <w:rsid w:val="56921A85"/>
    <w:rsid w:val="56925F29"/>
    <w:rsid w:val="56933A4F"/>
    <w:rsid w:val="5697353F"/>
    <w:rsid w:val="56981066"/>
    <w:rsid w:val="56995821"/>
    <w:rsid w:val="569972B8"/>
    <w:rsid w:val="569E667C"/>
    <w:rsid w:val="569F0646"/>
    <w:rsid w:val="569F23F4"/>
    <w:rsid w:val="569F6CEC"/>
    <w:rsid w:val="56A143BE"/>
    <w:rsid w:val="56A25A40"/>
    <w:rsid w:val="56A417B8"/>
    <w:rsid w:val="56A45C5C"/>
    <w:rsid w:val="56A52B5E"/>
    <w:rsid w:val="56A96DCF"/>
    <w:rsid w:val="56AB2B47"/>
    <w:rsid w:val="56B0015D"/>
    <w:rsid w:val="56B52866"/>
    <w:rsid w:val="56B85264"/>
    <w:rsid w:val="56B934B6"/>
    <w:rsid w:val="56BA5480"/>
    <w:rsid w:val="56BA722E"/>
    <w:rsid w:val="56BB4793"/>
    <w:rsid w:val="56BC6214"/>
    <w:rsid w:val="56BC6B02"/>
    <w:rsid w:val="56BC7955"/>
    <w:rsid w:val="56BE0ACC"/>
    <w:rsid w:val="56BF4844"/>
    <w:rsid w:val="56C1236A"/>
    <w:rsid w:val="56C25EEB"/>
    <w:rsid w:val="56C836F9"/>
    <w:rsid w:val="56C9121F"/>
    <w:rsid w:val="56CB68EF"/>
    <w:rsid w:val="56CD0D0F"/>
    <w:rsid w:val="56CE4A87"/>
    <w:rsid w:val="56CE6835"/>
    <w:rsid w:val="56CF0F2B"/>
    <w:rsid w:val="56D06A51"/>
    <w:rsid w:val="56D227CA"/>
    <w:rsid w:val="56D402F0"/>
    <w:rsid w:val="56D4209E"/>
    <w:rsid w:val="56D55E16"/>
    <w:rsid w:val="56D57BC4"/>
    <w:rsid w:val="56D627B6"/>
    <w:rsid w:val="56D72C44"/>
    <w:rsid w:val="56D77DE0"/>
    <w:rsid w:val="56D83DF0"/>
    <w:rsid w:val="56DB78D0"/>
    <w:rsid w:val="56DC4338"/>
    <w:rsid w:val="56DE116E"/>
    <w:rsid w:val="56DF0A43"/>
    <w:rsid w:val="56E16569"/>
    <w:rsid w:val="56E322E1"/>
    <w:rsid w:val="56E61DD1"/>
    <w:rsid w:val="56E803BD"/>
    <w:rsid w:val="56EB5586"/>
    <w:rsid w:val="56EB5639"/>
    <w:rsid w:val="56EB73E7"/>
    <w:rsid w:val="56F02C50"/>
    <w:rsid w:val="56F24C1A"/>
    <w:rsid w:val="56F27A24"/>
    <w:rsid w:val="56F30EB4"/>
    <w:rsid w:val="56F42740"/>
    <w:rsid w:val="56F43E0D"/>
    <w:rsid w:val="56F52014"/>
    <w:rsid w:val="56F91B04"/>
    <w:rsid w:val="56F97D56"/>
    <w:rsid w:val="56FA0D87"/>
    <w:rsid w:val="56FA762A"/>
    <w:rsid w:val="56FE35BF"/>
    <w:rsid w:val="57004D88"/>
    <w:rsid w:val="5706732A"/>
    <w:rsid w:val="570F0F73"/>
    <w:rsid w:val="571050A0"/>
    <w:rsid w:val="57106E4E"/>
    <w:rsid w:val="571132F2"/>
    <w:rsid w:val="5712706A"/>
    <w:rsid w:val="57160908"/>
    <w:rsid w:val="571903F8"/>
    <w:rsid w:val="57193F55"/>
    <w:rsid w:val="571E22FE"/>
    <w:rsid w:val="572172AD"/>
    <w:rsid w:val="57230924"/>
    <w:rsid w:val="572528F9"/>
    <w:rsid w:val="57272B15"/>
    <w:rsid w:val="572B6F11"/>
    <w:rsid w:val="572C1045"/>
    <w:rsid w:val="572D17AE"/>
    <w:rsid w:val="572D5C52"/>
    <w:rsid w:val="572F5526"/>
    <w:rsid w:val="5731087A"/>
    <w:rsid w:val="573174F0"/>
    <w:rsid w:val="57336347"/>
    <w:rsid w:val="573568B4"/>
    <w:rsid w:val="57362D58"/>
    <w:rsid w:val="57364EEE"/>
    <w:rsid w:val="573816EC"/>
    <w:rsid w:val="5738773E"/>
    <w:rsid w:val="573C7C43"/>
    <w:rsid w:val="573E39BB"/>
    <w:rsid w:val="573E602B"/>
    <w:rsid w:val="574014E1"/>
    <w:rsid w:val="57441E9D"/>
    <w:rsid w:val="57486D6A"/>
    <w:rsid w:val="574A2360"/>
    <w:rsid w:val="574D3BFE"/>
    <w:rsid w:val="574F3E1A"/>
    <w:rsid w:val="57503DD9"/>
    <w:rsid w:val="57521214"/>
    <w:rsid w:val="57541431"/>
    <w:rsid w:val="575548AE"/>
    <w:rsid w:val="57560D05"/>
    <w:rsid w:val="575635E0"/>
    <w:rsid w:val="57566F57"/>
    <w:rsid w:val="575907F5"/>
    <w:rsid w:val="575925A3"/>
    <w:rsid w:val="575B456D"/>
    <w:rsid w:val="575C02E5"/>
    <w:rsid w:val="575E0945"/>
    <w:rsid w:val="57607DD5"/>
    <w:rsid w:val="57623B4D"/>
    <w:rsid w:val="57633422"/>
    <w:rsid w:val="57636ED5"/>
    <w:rsid w:val="57637240"/>
    <w:rsid w:val="57671164"/>
    <w:rsid w:val="576B045F"/>
    <w:rsid w:val="576C0528"/>
    <w:rsid w:val="576D24F2"/>
    <w:rsid w:val="576D604E"/>
    <w:rsid w:val="576E58A2"/>
    <w:rsid w:val="576F626A"/>
    <w:rsid w:val="57711FE2"/>
    <w:rsid w:val="577218B7"/>
    <w:rsid w:val="577473DD"/>
    <w:rsid w:val="5776215B"/>
    <w:rsid w:val="5778511F"/>
    <w:rsid w:val="577949F3"/>
    <w:rsid w:val="577B3BE0"/>
    <w:rsid w:val="577B4C0F"/>
    <w:rsid w:val="577E200A"/>
    <w:rsid w:val="577E46FF"/>
    <w:rsid w:val="57841166"/>
    <w:rsid w:val="57877110"/>
    <w:rsid w:val="578810DA"/>
    <w:rsid w:val="5789732C"/>
    <w:rsid w:val="578A30A4"/>
    <w:rsid w:val="578F4217"/>
    <w:rsid w:val="5790495D"/>
    <w:rsid w:val="57923D07"/>
    <w:rsid w:val="5794182D"/>
    <w:rsid w:val="579637F7"/>
    <w:rsid w:val="57992BC0"/>
    <w:rsid w:val="579932E7"/>
    <w:rsid w:val="57996E43"/>
    <w:rsid w:val="579B2BBB"/>
    <w:rsid w:val="579B705F"/>
    <w:rsid w:val="579D04DD"/>
    <w:rsid w:val="579D2DD8"/>
    <w:rsid w:val="579D4B86"/>
    <w:rsid w:val="579E26AC"/>
    <w:rsid w:val="579E7D32"/>
    <w:rsid w:val="57A001D2"/>
    <w:rsid w:val="57A04676"/>
    <w:rsid w:val="57A06424"/>
    <w:rsid w:val="57A11755"/>
    <w:rsid w:val="57A37CC2"/>
    <w:rsid w:val="57A53A3A"/>
    <w:rsid w:val="57A71560"/>
    <w:rsid w:val="57A75A04"/>
    <w:rsid w:val="57A85717"/>
    <w:rsid w:val="57AA1051"/>
    <w:rsid w:val="57AA2DFF"/>
    <w:rsid w:val="57AA72A2"/>
    <w:rsid w:val="57AC301B"/>
    <w:rsid w:val="57AE07FF"/>
    <w:rsid w:val="57B03084"/>
    <w:rsid w:val="57B1418D"/>
    <w:rsid w:val="57B819BF"/>
    <w:rsid w:val="57B958F8"/>
    <w:rsid w:val="57BB500C"/>
    <w:rsid w:val="57BD10A8"/>
    <w:rsid w:val="57BD42FE"/>
    <w:rsid w:val="57BD5228"/>
    <w:rsid w:val="57C55E8A"/>
    <w:rsid w:val="57C62A10"/>
    <w:rsid w:val="57CA34A1"/>
    <w:rsid w:val="57CA6432"/>
    <w:rsid w:val="57CD4D3F"/>
    <w:rsid w:val="57CF2865"/>
    <w:rsid w:val="57D03CD4"/>
    <w:rsid w:val="57D04F5B"/>
    <w:rsid w:val="57D305A7"/>
    <w:rsid w:val="57D32355"/>
    <w:rsid w:val="57D351A3"/>
    <w:rsid w:val="57D91936"/>
    <w:rsid w:val="57D936E4"/>
    <w:rsid w:val="57DB3900"/>
    <w:rsid w:val="57DC7C7B"/>
    <w:rsid w:val="57DE0CFA"/>
    <w:rsid w:val="57E207EA"/>
    <w:rsid w:val="57E36310"/>
    <w:rsid w:val="57E427B4"/>
    <w:rsid w:val="57E44562"/>
    <w:rsid w:val="57E722A5"/>
    <w:rsid w:val="57E74053"/>
    <w:rsid w:val="57E75E01"/>
    <w:rsid w:val="57EA769F"/>
    <w:rsid w:val="57EE3633"/>
    <w:rsid w:val="57F24B59"/>
    <w:rsid w:val="57F24C6F"/>
    <w:rsid w:val="57F347A6"/>
    <w:rsid w:val="57F55F69"/>
    <w:rsid w:val="57F66044"/>
    <w:rsid w:val="57F81DBC"/>
    <w:rsid w:val="57FA3D86"/>
    <w:rsid w:val="57FD3876"/>
    <w:rsid w:val="58003366"/>
    <w:rsid w:val="58005114"/>
    <w:rsid w:val="58020E8D"/>
    <w:rsid w:val="58057058"/>
    <w:rsid w:val="5809221B"/>
    <w:rsid w:val="58095D77"/>
    <w:rsid w:val="580A7D41"/>
    <w:rsid w:val="580B61E2"/>
    <w:rsid w:val="580C1D0B"/>
    <w:rsid w:val="580E15DF"/>
    <w:rsid w:val="580E5A83"/>
    <w:rsid w:val="580F7106"/>
    <w:rsid w:val="581035A9"/>
    <w:rsid w:val="58107BA9"/>
    <w:rsid w:val="58122797"/>
    <w:rsid w:val="58124259"/>
    <w:rsid w:val="5813309A"/>
    <w:rsid w:val="58143054"/>
    <w:rsid w:val="58150BC0"/>
    <w:rsid w:val="58164938"/>
    <w:rsid w:val="58166663"/>
    <w:rsid w:val="581666E6"/>
    <w:rsid w:val="581939F2"/>
    <w:rsid w:val="581949DE"/>
    <w:rsid w:val="581A12AA"/>
    <w:rsid w:val="581A7F84"/>
    <w:rsid w:val="581B5AAA"/>
    <w:rsid w:val="581F37ED"/>
    <w:rsid w:val="581F559B"/>
    <w:rsid w:val="5822508B"/>
    <w:rsid w:val="582726A1"/>
    <w:rsid w:val="5827444F"/>
    <w:rsid w:val="58293713"/>
    <w:rsid w:val="582A0D9F"/>
    <w:rsid w:val="582A2734"/>
    <w:rsid w:val="582B03E3"/>
    <w:rsid w:val="582C537A"/>
    <w:rsid w:val="582C5F09"/>
    <w:rsid w:val="582C7CB7"/>
    <w:rsid w:val="582E57DE"/>
    <w:rsid w:val="583077A8"/>
    <w:rsid w:val="5831536C"/>
    <w:rsid w:val="583A23D4"/>
    <w:rsid w:val="583C439E"/>
    <w:rsid w:val="583F5C3D"/>
    <w:rsid w:val="58403763"/>
    <w:rsid w:val="584414A5"/>
    <w:rsid w:val="58461C3C"/>
    <w:rsid w:val="58474AF1"/>
    <w:rsid w:val="58485A69"/>
    <w:rsid w:val="58490869"/>
    <w:rsid w:val="58492617"/>
    <w:rsid w:val="584B2834"/>
    <w:rsid w:val="584C2108"/>
    <w:rsid w:val="584D7A97"/>
    <w:rsid w:val="584E29FC"/>
    <w:rsid w:val="584E7C2E"/>
    <w:rsid w:val="5851771E"/>
    <w:rsid w:val="585A65D3"/>
    <w:rsid w:val="585B059D"/>
    <w:rsid w:val="585B5FB1"/>
    <w:rsid w:val="585D2567"/>
    <w:rsid w:val="585D4315"/>
    <w:rsid w:val="5862288E"/>
    <w:rsid w:val="586236D9"/>
    <w:rsid w:val="5866141B"/>
    <w:rsid w:val="58670CF0"/>
    <w:rsid w:val="58692CBA"/>
    <w:rsid w:val="58694A68"/>
    <w:rsid w:val="586B4C84"/>
    <w:rsid w:val="586B6A32"/>
    <w:rsid w:val="586C27AA"/>
    <w:rsid w:val="586C2AC2"/>
    <w:rsid w:val="5870229A"/>
    <w:rsid w:val="58733B38"/>
    <w:rsid w:val="58737694"/>
    <w:rsid w:val="587578B0"/>
    <w:rsid w:val="587753D7"/>
    <w:rsid w:val="587A4EC7"/>
    <w:rsid w:val="587C13DB"/>
    <w:rsid w:val="587D49B7"/>
    <w:rsid w:val="587D6765"/>
    <w:rsid w:val="58810003"/>
    <w:rsid w:val="58816255"/>
    <w:rsid w:val="58823DDA"/>
    <w:rsid w:val="5886386C"/>
    <w:rsid w:val="5887032B"/>
    <w:rsid w:val="58871392"/>
    <w:rsid w:val="5889335C"/>
    <w:rsid w:val="588A4272"/>
    <w:rsid w:val="588B2C30"/>
    <w:rsid w:val="588D4BFA"/>
    <w:rsid w:val="588F168E"/>
    <w:rsid w:val="589046EA"/>
    <w:rsid w:val="58922210"/>
    <w:rsid w:val="5894149F"/>
    <w:rsid w:val="58951D01"/>
    <w:rsid w:val="58953AAF"/>
    <w:rsid w:val="5895766E"/>
    <w:rsid w:val="589773D1"/>
    <w:rsid w:val="589A10C5"/>
    <w:rsid w:val="589A2E73"/>
    <w:rsid w:val="589C4E3D"/>
    <w:rsid w:val="589E6E07"/>
    <w:rsid w:val="589F66DB"/>
    <w:rsid w:val="58A261CC"/>
    <w:rsid w:val="58A70C52"/>
    <w:rsid w:val="58A75590"/>
    <w:rsid w:val="58A91308"/>
    <w:rsid w:val="58AB1524"/>
    <w:rsid w:val="58AB6E2E"/>
    <w:rsid w:val="58AE2DC2"/>
    <w:rsid w:val="58AE4B70"/>
    <w:rsid w:val="58B31A8B"/>
    <w:rsid w:val="58B33A31"/>
    <w:rsid w:val="58B479F0"/>
    <w:rsid w:val="58B54151"/>
    <w:rsid w:val="58B55EFF"/>
    <w:rsid w:val="58B8154B"/>
    <w:rsid w:val="58BA1767"/>
    <w:rsid w:val="58BA52C3"/>
    <w:rsid w:val="58BD4DB3"/>
    <w:rsid w:val="58BF0B2C"/>
    <w:rsid w:val="58C06E06"/>
    <w:rsid w:val="58C148A4"/>
    <w:rsid w:val="58C1672F"/>
    <w:rsid w:val="58C47EF0"/>
    <w:rsid w:val="58C63C68"/>
    <w:rsid w:val="58C779E0"/>
    <w:rsid w:val="58C86C4E"/>
    <w:rsid w:val="58CB5722"/>
    <w:rsid w:val="58CD73EC"/>
    <w:rsid w:val="58CE7D58"/>
    <w:rsid w:val="58D004CB"/>
    <w:rsid w:val="58D04AE7"/>
    <w:rsid w:val="58D07A89"/>
    <w:rsid w:val="58D33D61"/>
    <w:rsid w:val="58D36385"/>
    <w:rsid w:val="58D565A1"/>
    <w:rsid w:val="58D75E75"/>
    <w:rsid w:val="58D8399B"/>
    <w:rsid w:val="58D97E3F"/>
    <w:rsid w:val="58DA3BB7"/>
    <w:rsid w:val="58DA7713"/>
    <w:rsid w:val="58DC16DE"/>
    <w:rsid w:val="58DE3013"/>
    <w:rsid w:val="58DE5456"/>
    <w:rsid w:val="58DF11CE"/>
    <w:rsid w:val="58DF2F7C"/>
    <w:rsid w:val="58DF4D2A"/>
    <w:rsid w:val="58E00DE3"/>
    <w:rsid w:val="58E30CBE"/>
    <w:rsid w:val="58E32A6C"/>
    <w:rsid w:val="58E40592"/>
    <w:rsid w:val="58E42340"/>
    <w:rsid w:val="58E80082"/>
    <w:rsid w:val="58E81E30"/>
    <w:rsid w:val="58E97957"/>
    <w:rsid w:val="58EA204C"/>
    <w:rsid w:val="58EB7B73"/>
    <w:rsid w:val="58EC3877"/>
    <w:rsid w:val="58ED4908"/>
    <w:rsid w:val="58ED7447"/>
    <w:rsid w:val="58EE31BF"/>
    <w:rsid w:val="58F049CA"/>
    <w:rsid w:val="58F22CAF"/>
    <w:rsid w:val="58F44C79"/>
    <w:rsid w:val="58F5279F"/>
    <w:rsid w:val="58F72073"/>
    <w:rsid w:val="58F92290"/>
    <w:rsid w:val="58F9403E"/>
    <w:rsid w:val="58FA6008"/>
    <w:rsid w:val="58FB7220"/>
    <w:rsid w:val="58FC1D80"/>
    <w:rsid w:val="58FC3B2E"/>
    <w:rsid w:val="58FD4AA4"/>
    <w:rsid w:val="58FE6FFB"/>
    <w:rsid w:val="58FE7493"/>
    <w:rsid w:val="58FF53CC"/>
    <w:rsid w:val="59034B0E"/>
    <w:rsid w:val="59066A61"/>
    <w:rsid w:val="59080725"/>
    <w:rsid w:val="590824D3"/>
    <w:rsid w:val="590A4A8F"/>
    <w:rsid w:val="590A624B"/>
    <w:rsid w:val="590B2212"/>
    <w:rsid w:val="590D1897"/>
    <w:rsid w:val="590D5D3B"/>
    <w:rsid w:val="59105CBF"/>
    <w:rsid w:val="591075D9"/>
    <w:rsid w:val="59126EAD"/>
    <w:rsid w:val="5915074C"/>
    <w:rsid w:val="59154BEF"/>
    <w:rsid w:val="591841DB"/>
    <w:rsid w:val="591E5852"/>
    <w:rsid w:val="59215342"/>
    <w:rsid w:val="5923730C"/>
    <w:rsid w:val="59254E33"/>
    <w:rsid w:val="59282B75"/>
    <w:rsid w:val="59285D16"/>
    <w:rsid w:val="592A2449"/>
    <w:rsid w:val="592A538D"/>
    <w:rsid w:val="592B4413"/>
    <w:rsid w:val="592D018B"/>
    <w:rsid w:val="592D1F39"/>
    <w:rsid w:val="592F5CB1"/>
    <w:rsid w:val="593212FE"/>
    <w:rsid w:val="5934151A"/>
    <w:rsid w:val="59345076"/>
    <w:rsid w:val="59372DB8"/>
    <w:rsid w:val="593908DE"/>
    <w:rsid w:val="593F3A1A"/>
    <w:rsid w:val="59400210"/>
    <w:rsid w:val="59401951"/>
    <w:rsid w:val="59417793"/>
    <w:rsid w:val="5944082C"/>
    <w:rsid w:val="59441762"/>
    <w:rsid w:val="594634C0"/>
    <w:rsid w:val="59464082"/>
    <w:rsid w:val="5947124D"/>
    <w:rsid w:val="59480B21"/>
    <w:rsid w:val="594E53E5"/>
    <w:rsid w:val="594F0101"/>
    <w:rsid w:val="594F4501"/>
    <w:rsid w:val="59513E7A"/>
    <w:rsid w:val="595167E9"/>
    <w:rsid w:val="595219A0"/>
    <w:rsid w:val="59592D2E"/>
    <w:rsid w:val="595B45E5"/>
    <w:rsid w:val="595B4CF8"/>
    <w:rsid w:val="595E6596"/>
    <w:rsid w:val="59633BAD"/>
    <w:rsid w:val="59684D1F"/>
    <w:rsid w:val="59693143"/>
    <w:rsid w:val="596B0C63"/>
    <w:rsid w:val="596B480F"/>
    <w:rsid w:val="596C2A61"/>
    <w:rsid w:val="596D67DA"/>
    <w:rsid w:val="596F2552"/>
    <w:rsid w:val="59701244"/>
    <w:rsid w:val="59701C86"/>
    <w:rsid w:val="59701E26"/>
    <w:rsid w:val="59710803"/>
    <w:rsid w:val="59723DF0"/>
    <w:rsid w:val="597247E0"/>
    <w:rsid w:val="59741916"/>
    <w:rsid w:val="597B4402"/>
    <w:rsid w:val="597C5CCB"/>
    <w:rsid w:val="597E4619"/>
    <w:rsid w:val="597E4984"/>
    <w:rsid w:val="597F41AD"/>
    <w:rsid w:val="597F517B"/>
    <w:rsid w:val="5980650D"/>
    <w:rsid w:val="59831B59"/>
    <w:rsid w:val="59837DAB"/>
    <w:rsid w:val="59861515"/>
    <w:rsid w:val="5988716F"/>
    <w:rsid w:val="598C3104"/>
    <w:rsid w:val="598D4177"/>
    <w:rsid w:val="598E5973"/>
    <w:rsid w:val="598F6750"/>
    <w:rsid w:val="59901BA6"/>
    <w:rsid w:val="59926240"/>
    <w:rsid w:val="59945B14"/>
    <w:rsid w:val="5997249A"/>
    <w:rsid w:val="59981AA8"/>
    <w:rsid w:val="599B50F5"/>
    <w:rsid w:val="599B6D12"/>
    <w:rsid w:val="599D70BF"/>
    <w:rsid w:val="599E6993"/>
    <w:rsid w:val="59A57D21"/>
    <w:rsid w:val="59A71CEC"/>
    <w:rsid w:val="59A74B39"/>
    <w:rsid w:val="59A85A64"/>
    <w:rsid w:val="59AA31B9"/>
    <w:rsid w:val="59AA5338"/>
    <w:rsid w:val="59AB01F8"/>
    <w:rsid w:val="59AF0BA0"/>
    <w:rsid w:val="59B05DB3"/>
    <w:rsid w:val="59B2243E"/>
    <w:rsid w:val="59B30690"/>
    <w:rsid w:val="59B368E2"/>
    <w:rsid w:val="59B419C2"/>
    <w:rsid w:val="59B61F2F"/>
    <w:rsid w:val="59B70343"/>
    <w:rsid w:val="59B77A55"/>
    <w:rsid w:val="59B83EF9"/>
    <w:rsid w:val="59B937CD"/>
    <w:rsid w:val="59BB7545"/>
    <w:rsid w:val="59BD32BD"/>
    <w:rsid w:val="59BD569A"/>
    <w:rsid w:val="59BE0DE3"/>
    <w:rsid w:val="59BE5287"/>
    <w:rsid w:val="59C208D3"/>
    <w:rsid w:val="59C23070"/>
    <w:rsid w:val="59C503C4"/>
    <w:rsid w:val="59C53F20"/>
    <w:rsid w:val="59C56616"/>
    <w:rsid w:val="59C75EEA"/>
    <w:rsid w:val="59C81C62"/>
    <w:rsid w:val="59C97EB4"/>
    <w:rsid w:val="59CC1752"/>
    <w:rsid w:val="59CD7278"/>
    <w:rsid w:val="59CE7D0B"/>
    <w:rsid w:val="59CF1242"/>
    <w:rsid w:val="59CF2E66"/>
    <w:rsid w:val="59CF2FF0"/>
    <w:rsid w:val="59CF7A5A"/>
    <w:rsid w:val="59D2488F"/>
    <w:rsid w:val="59D32690"/>
    <w:rsid w:val="59D6612D"/>
    <w:rsid w:val="59DA62AE"/>
    <w:rsid w:val="59DB7BE7"/>
    <w:rsid w:val="59DE4FE1"/>
    <w:rsid w:val="59E00D5A"/>
    <w:rsid w:val="59E24A40"/>
    <w:rsid w:val="59E26D55"/>
    <w:rsid w:val="59E36E2E"/>
    <w:rsid w:val="59E44CEE"/>
    <w:rsid w:val="59E7658C"/>
    <w:rsid w:val="59E85E60"/>
    <w:rsid w:val="59EA1BD8"/>
    <w:rsid w:val="59EF5441"/>
    <w:rsid w:val="59F12F67"/>
    <w:rsid w:val="59F35F66"/>
    <w:rsid w:val="59F45BFB"/>
    <w:rsid w:val="59F64A21"/>
    <w:rsid w:val="59F91E1B"/>
    <w:rsid w:val="59F92CC7"/>
    <w:rsid w:val="59FA62BF"/>
    <w:rsid w:val="59FB55E7"/>
    <w:rsid w:val="59FD262F"/>
    <w:rsid w:val="59FE51CE"/>
    <w:rsid w:val="59FF38D6"/>
    <w:rsid w:val="5A0013FC"/>
    <w:rsid w:val="5A030A87"/>
    <w:rsid w:val="5A0752CB"/>
    <w:rsid w:val="5A094754"/>
    <w:rsid w:val="5A096502"/>
    <w:rsid w:val="5A0A04CC"/>
    <w:rsid w:val="5A0A16DA"/>
    <w:rsid w:val="5A0C5FF2"/>
    <w:rsid w:val="5A102BB5"/>
    <w:rsid w:val="5A1030D6"/>
    <w:rsid w:val="5A105AE3"/>
    <w:rsid w:val="5A117165"/>
    <w:rsid w:val="5A13112F"/>
    <w:rsid w:val="5A137381"/>
    <w:rsid w:val="5A160C1F"/>
    <w:rsid w:val="5A186688"/>
    <w:rsid w:val="5A1924BD"/>
    <w:rsid w:val="5A19426B"/>
    <w:rsid w:val="5A1A070F"/>
    <w:rsid w:val="5A1A3741"/>
    <w:rsid w:val="5A1B6236"/>
    <w:rsid w:val="5A1D1FAE"/>
    <w:rsid w:val="5A1E1882"/>
    <w:rsid w:val="5A261B69"/>
    <w:rsid w:val="5A296BA4"/>
    <w:rsid w:val="5A2A0227"/>
    <w:rsid w:val="5A2A46CB"/>
    <w:rsid w:val="5A2C3F9F"/>
    <w:rsid w:val="5A2E0C74"/>
    <w:rsid w:val="5A2F1CE1"/>
    <w:rsid w:val="5A33532D"/>
    <w:rsid w:val="5A355549"/>
    <w:rsid w:val="5A3612C1"/>
    <w:rsid w:val="5A395589"/>
    <w:rsid w:val="5A3A2B60"/>
    <w:rsid w:val="5A3B2434"/>
    <w:rsid w:val="5A3B2465"/>
    <w:rsid w:val="5A3C1AC0"/>
    <w:rsid w:val="5A3D7F5A"/>
    <w:rsid w:val="5A3E3CD2"/>
    <w:rsid w:val="5A3F0176"/>
    <w:rsid w:val="5A417B04"/>
    <w:rsid w:val="5A421A14"/>
    <w:rsid w:val="5A430530"/>
    <w:rsid w:val="5A4561C9"/>
    <w:rsid w:val="5A470DD9"/>
    <w:rsid w:val="5A47527D"/>
    <w:rsid w:val="5A47702B"/>
    <w:rsid w:val="5A4E2167"/>
    <w:rsid w:val="5A504131"/>
    <w:rsid w:val="5A557999"/>
    <w:rsid w:val="5A584D94"/>
    <w:rsid w:val="5A5D23AA"/>
    <w:rsid w:val="5A5D684E"/>
    <w:rsid w:val="5A5E2F74"/>
    <w:rsid w:val="5A5F25C6"/>
    <w:rsid w:val="5A6000EC"/>
    <w:rsid w:val="5A6279C1"/>
    <w:rsid w:val="5A6574B1"/>
    <w:rsid w:val="5A663955"/>
    <w:rsid w:val="5A670D37"/>
    <w:rsid w:val="5A673229"/>
    <w:rsid w:val="5A680816"/>
    <w:rsid w:val="5A694668"/>
    <w:rsid w:val="5A696FA1"/>
    <w:rsid w:val="5A6B6F88"/>
    <w:rsid w:val="5A6C38CF"/>
    <w:rsid w:val="5A6E1489"/>
    <w:rsid w:val="5A706581"/>
    <w:rsid w:val="5A715E56"/>
    <w:rsid w:val="5A736072"/>
    <w:rsid w:val="5A737E20"/>
    <w:rsid w:val="5A7476F4"/>
    <w:rsid w:val="5A7557DC"/>
    <w:rsid w:val="5A7616BE"/>
    <w:rsid w:val="5A767910"/>
    <w:rsid w:val="5A78158C"/>
    <w:rsid w:val="5A797AC8"/>
    <w:rsid w:val="5A7A11AE"/>
    <w:rsid w:val="5A7A7400"/>
    <w:rsid w:val="5A7C4F26"/>
    <w:rsid w:val="5A7F67C4"/>
    <w:rsid w:val="5A81078E"/>
    <w:rsid w:val="5A84202D"/>
    <w:rsid w:val="5A856A59"/>
    <w:rsid w:val="5A865020"/>
    <w:rsid w:val="5A867B53"/>
    <w:rsid w:val="5A871B1D"/>
    <w:rsid w:val="5A8738CB"/>
    <w:rsid w:val="5A8913F1"/>
    <w:rsid w:val="5A89319F"/>
    <w:rsid w:val="5A8B5169"/>
    <w:rsid w:val="5A8D0A60"/>
    <w:rsid w:val="5A8F0385"/>
    <w:rsid w:val="5A900F23"/>
    <w:rsid w:val="5A92474A"/>
    <w:rsid w:val="5A93401E"/>
    <w:rsid w:val="5A946B2A"/>
    <w:rsid w:val="5A951B44"/>
    <w:rsid w:val="5A955FE8"/>
    <w:rsid w:val="5A971D60"/>
    <w:rsid w:val="5A975FA5"/>
    <w:rsid w:val="5A9D28FB"/>
    <w:rsid w:val="5A9E49E8"/>
    <w:rsid w:val="5A9F3CAF"/>
    <w:rsid w:val="5A9F7C3A"/>
    <w:rsid w:val="5AA004E9"/>
    <w:rsid w:val="5AA12BDF"/>
    <w:rsid w:val="5AA20705"/>
    <w:rsid w:val="5AA24261"/>
    <w:rsid w:val="5AA4447D"/>
    <w:rsid w:val="5AA47FD9"/>
    <w:rsid w:val="5AA63D51"/>
    <w:rsid w:val="5AA853F9"/>
    <w:rsid w:val="5AA93841"/>
    <w:rsid w:val="5AAB75B9"/>
    <w:rsid w:val="5AAE2C06"/>
    <w:rsid w:val="5AB0697E"/>
    <w:rsid w:val="5AB26B9A"/>
    <w:rsid w:val="5AB46C0D"/>
    <w:rsid w:val="5AB729BD"/>
    <w:rsid w:val="5AB741B0"/>
    <w:rsid w:val="5AB82934"/>
    <w:rsid w:val="5AB87F28"/>
    <w:rsid w:val="5ABA5A47"/>
    <w:rsid w:val="5ABA5A4E"/>
    <w:rsid w:val="5AC02939"/>
    <w:rsid w:val="5AC27E15"/>
    <w:rsid w:val="5AC32B55"/>
    <w:rsid w:val="5AC7645E"/>
    <w:rsid w:val="5AC95C92"/>
    <w:rsid w:val="5AC97A40"/>
    <w:rsid w:val="5ACA6ECC"/>
    <w:rsid w:val="5ACB1A0A"/>
    <w:rsid w:val="5ACC12DE"/>
    <w:rsid w:val="5AD11167"/>
    <w:rsid w:val="5AD36B10"/>
    <w:rsid w:val="5AD57687"/>
    <w:rsid w:val="5AD86008"/>
    <w:rsid w:val="5ADA7E9F"/>
    <w:rsid w:val="5ADB7BB3"/>
    <w:rsid w:val="5ADC7773"/>
    <w:rsid w:val="5ADD173D"/>
    <w:rsid w:val="5ADF54B5"/>
    <w:rsid w:val="5AE26D53"/>
    <w:rsid w:val="5AE34FA5"/>
    <w:rsid w:val="5AE44879"/>
    <w:rsid w:val="5AE504D1"/>
    <w:rsid w:val="5AE900E2"/>
    <w:rsid w:val="5AEA041D"/>
    <w:rsid w:val="5AEA2CC8"/>
    <w:rsid w:val="5AEB5C08"/>
    <w:rsid w:val="5AEC372E"/>
    <w:rsid w:val="5AED1980"/>
    <w:rsid w:val="5AED2589"/>
    <w:rsid w:val="5AEE56F8"/>
    <w:rsid w:val="5AEF2DFF"/>
    <w:rsid w:val="5AF26F96"/>
    <w:rsid w:val="5AF30F60"/>
    <w:rsid w:val="5AF42587"/>
    <w:rsid w:val="5AF903EB"/>
    <w:rsid w:val="5AF96577"/>
    <w:rsid w:val="5AFA22EF"/>
    <w:rsid w:val="5AFA5E4B"/>
    <w:rsid w:val="5AFB2832"/>
    <w:rsid w:val="5AFB7B6B"/>
    <w:rsid w:val="5AFE1DDF"/>
    <w:rsid w:val="5AFE3B8D"/>
    <w:rsid w:val="5AFF3461"/>
    <w:rsid w:val="5AFF7905"/>
    <w:rsid w:val="5B013AD3"/>
    <w:rsid w:val="5B0311A3"/>
    <w:rsid w:val="5B0647F0"/>
    <w:rsid w:val="5B067C49"/>
    <w:rsid w:val="5B0B0058"/>
    <w:rsid w:val="5B0D2022"/>
    <w:rsid w:val="5B0D3DD0"/>
    <w:rsid w:val="5B0E18F6"/>
    <w:rsid w:val="5B0E59BB"/>
    <w:rsid w:val="5B0F7567"/>
    <w:rsid w:val="5B0F7EC4"/>
    <w:rsid w:val="5B123195"/>
    <w:rsid w:val="5B173A02"/>
    <w:rsid w:val="5B176BCC"/>
    <w:rsid w:val="5B184523"/>
    <w:rsid w:val="5B1909C7"/>
    <w:rsid w:val="5B19492B"/>
    <w:rsid w:val="5B1C06DB"/>
    <w:rsid w:val="5B1E7D8B"/>
    <w:rsid w:val="5B1F58B2"/>
    <w:rsid w:val="5B231846"/>
    <w:rsid w:val="5B2335F4"/>
    <w:rsid w:val="5B242EC8"/>
    <w:rsid w:val="5B24736C"/>
    <w:rsid w:val="5B2829B8"/>
    <w:rsid w:val="5B296730"/>
    <w:rsid w:val="5B2D1660"/>
    <w:rsid w:val="5B2D4472"/>
    <w:rsid w:val="5B2D7FCE"/>
    <w:rsid w:val="5B2F1F99"/>
    <w:rsid w:val="5B305D11"/>
    <w:rsid w:val="5B314042"/>
    <w:rsid w:val="5B3255E5"/>
    <w:rsid w:val="5B341B1C"/>
    <w:rsid w:val="5B351579"/>
    <w:rsid w:val="5B384449"/>
    <w:rsid w:val="5B392E17"/>
    <w:rsid w:val="5B394BC5"/>
    <w:rsid w:val="5B3A093D"/>
    <w:rsid w:val="5B3C6463"/>
    <w:rsid w:val="5B3E042E"/>
    <w:rsid w:val="5B3F5F54"/>
    <w:rsid w:val="5B3F6646"/>
    <w:rsid w:val="5B3F7D02"/>
    <w:rsid w:val="5B407AB5"/>
    <w:rsid w:val="5B4377F2"/>
    <w:rsid w:val="5B44356A"/>
    <w:rsid w:val="5B445318"/>
    <w:rsid w:val="5B4517BC"/>
    <w:rsid w:val="5B490B80"/>
    <w:rsid w:val="5B4B66A7"/>
    <w:rsid w:val="5B4C57D4"/>
    <w:rsid w:val="5B4F43E9"/>
    <w:rsid w:val="5B523ED9"/>
    <w:rsid w:val="5B540F34"/>
    <w:rsid w:val="5B5419FF"/>
    <w:rsid w:val="5B5714EF"/>
    <w:rsid w:val="5B5B46DE"/>
    <w:rsid w:val="5B5B72AF"/>
    <w:rsid w:val="5B5E462C"/>
    <w:rsid w:val="5B6078C7"/>
    <w:rsid w:val="5B6559BA"/>
    <w:rsid w:val="5B6634E0"/>
    <w:rsid w:val="5B676976"/>
    <w:rsid w:val="5B694D7F"/>
    <w:rsid w:val="5B6A0607"/>
    <w:rsid w:val="5B6A2FD1"/>
    <w:rsid w:val="5B6B4F9B"/>
    <w:rsid w:val="5B6B6D49"/>
    <w:rsid w:val="5B6D2AC1"/>
    <w:rsid w:val="5B6D7F83"/>
    <w:rsid w:val="5B7025B1"/>
    <w:rsid w:val="5B7200D7"/>
    <w:rsid w:val="5B721E85"/>
    <w:rsid w:val="5B745BFD"/>
    <w:rsid w:val="5B755624"/>
    <w:rsid w:val="5B7756EE"/>
    <w:rsid w:val="5B77749C"/>
    <w:rsid w:val="5B791466"/>
    <w:rsid w:val="5B793214"/>
    <w:rsid w:val="5B7A6F8C"/>
    <w:rsid w:val="5B7D3FF5"/>
    <w:rsid w:val="5B7E4CCE"/>
    <w:rsid w:val="5B7F3AD9"/>
    <w:rsid w:val="5B8322E4"/>
    <w:rsid w:val="5B835E40"/>
    <w:rsid w:val="5B85605C"/>
    <w:rsid w:val="5B874E3C"/>
    <w:rsid w:val="5B885B4D"/>
    <w:rsid w:val="5B8D3163"/>
    <w:rsid w:val="5B8E0E11"/>
    <w:rsid w:val="5B8F0C89"/>
    <w:rsid w:val="5B8F2A37"/>
    <w:rsid w:val="5B904C74"/>
    <w:rsid w:val="5B940EBA"/>
    <w:rsid w:val="5B955B74"/>
    <w:rsid w:val="5B955CFF"/>
    <w:rsid w:val="5B9718EC"/>
    <w:rsid w:val="5B9B5880"/>
    <w:rsid w:val="5B9D7062"/>
    <w:rsid w:val="5B9F1982"/>
    <w:rsid w:val="5BA109BC"/>
    <w:rsid w:val="5BA364E3"/>
    <w:rsid w:val="5BA504AD"/>
    <w:rsid w:val="5BA54009"/>
    <w:rsid w:val="5BA557F4"/>
    <w:rsid w:val="5BA61855"/>
    <w:rsid w:val="5BA66C84"/>
    <w:rsid w:val="5BAA0022"/>
    <w:rsid w:val="5BAF30D9"/>
    <w:rsid w:val="5BB43E59"/>
    <w:rsid w:val="5BB64468"/>
    <w:rsid w:val="5BB71F8E"/>
    <w:rsid w:val="5BB871F6"/>
    <w:rsid w:val="5BBB382C"/>
    <w:rsid w:val="5BBD57F6"/>
    <w:rsid w:val="5BBE50CA"/>
    <w:rsid w:val="5BC052E6"/>
    <w:rsid w:val="5BC07095"/>
    <w:rsid w:val="5BC10FDC"/>
    <w:rsid w:val="5BC14BBB"/>
    <w:rsid w:val="5BC22E0D"/>
    <w:rsid w:val="5BC326E1"/>
    <w:rsid w:val="5BC36B85"/>
    <w:rsid w:val="5BC5369D"/>
    <w:rsid w:val="5BC546AB"/>
    <w:rsid w:val="5BC70423"/>
    <w:rsid w:val="5BCA7F13"/>
    <w:rsid w:val="5BCC3C8B"/>
    <w:rsid w:val="5BCF72D8"/>
    <w:rsid w:val="5BD13050"/>
    <w:rsid w:val="5BD20DE2"/>
    <w:rsid w:val="5BD26DC8"/>
    <w:rsid w:val="5BD3501A"/>
    <w:rsid w:val="5BD40D92"/>
    <w:rsid w:val="5BD41B59"/>
    <w:rsid w:val="5BD62414"/>
    <w:rsid w:val="5BD82630"/>
    <w:rsid w:val="5BDB3ECE"/>
    <w:rsid w:val="5BDD7C46"/>
    <w:rsid w:val="5BDE2DB4"/>
    <w:rsid w:val="5BDE751B"/>
    <w:rsid w:val="5BDF6E15"/>
    <w:rsid w:val="5BE2700B"/>
    <w:rsid w:val="5BE31E3D"/>
    <w:rsid w:val="5BE33475"/>
    <w:rsid w:val="5BE54D4D"/>
    <w:rsid w:val="5BEC60DC"/>
    <w:rsid w:val="5BED5442"/>
    <w:rsid w:val="5BF46D3E"/>
    <w:rsid w:val="5BF7010E"/>
    <w:rsid w:val="5BF73518"/>
    <w:rsid w:val="5BFA0725"/>
    <w:rsid w:val="5BFB2626"/>
    <w:rsid w:val="5BFD3E45"/>
    <w:rsid w:val="5BFD3F1B"/>
    <w:rsid w:val="5BFE196B"/>
    <w:rsid w:val="5BFE219A"/>
    <w:rsid w:val="5BFE382E"/>
    <w:rsid w:val="5BFE5E0F"/>
    <w:rsid w:val="5BFE7BBD"/>
    <w:rsid w:val="5BFF1C3B"/>
    <w:rsid w:val="5C001B87"/>
    <w:rsid w:val="5C003935"/>
    <w:rsid w:val="5C040806"/>
    <w:rsid w:val="5C052CF9"/>
    <w:rsid w:val="5C053504"/>
    <w:rsid w:val="5C063701"/>
    <w:rsid w:val="5C07081F"/>
    <w:rsid w:val="5C074B91"/>
    <w:rsid w:val="5C0C22DA"/>
    <w:rsid w:val="5C0C4088"/>
    <w:rsid w:val="5C0D1BAE"/>
    <w:rsid w:val="5C0D7E00"/>
    <w:rsid w:val="5C0E3BCB"/>
    <w:rsid w:val="5C11169E"/>
    <w:rsid w:val="5C156FF2"/>
    <w:rsid w:val="5C163158"/>
    <w:rsid w:val="5C180C7F"/>
    <w:rsid w:val="5C1B076F"/>
    <w:rsid w:val="5C1D0043"/>
    <w:rsid w:val="5C1E0247"/>
    <w:rsid w:val="5C1E3DBB"/>
    <w:rsid w:val="5C205D85"/>
    <w:rsid w:val="5C2123A3"/>
    <w:rsid w:val="5C245875"/>
    <w:rsid w:val="5C250119"/>
    <w:rsid w:val="5C2869E8"/>
    <w:rsid w:val="5C286A9A"/>
    <w:rsid w:val="5C294C3A"/>
    <w:rsid w:val="5C2A6198"/>
    <w:rsid w:val="5C2C297C"/>
    <w:rsid w:val="5C2F7D76"/>
    <w:rsid w:val="5C321615"/>
    <w:rsid w:val="5C337866"/>
    <w:rsid w:val="5C3830CF"/>
    <w:rsid w:val="5C3B671B"/>
    <w:rsid w:val="5C3D2493"/>
    <w:rsid w:val="5C3D6937"/>
    <w:rsid w:val="5C3E7FB9"/>
    <w:rsid w:val="5C3F26AF"/>
    <w:rsid w:val="5C3F445D"/>
    <w:rsid w:val="5C403D31"/>
    <w:rsid w:val="5C416FF0"/>
    <w:rsid w:val="5C427AAA"/>
    <w:rsid w:val="5C433822"/>
    <w:rsid w:val="5C451348"/>
    <w:rsid w:val="5C45759A"/>
    <w:rsid w:val="5C460B93"/>
    <w:rsid w:val="5C471564"/>
    <w:rsid w:val="5C473312"/>
    <w:rsid w:val="5C49708A"/>
    <w:rsid w:val="5C4A4BB0"/>
    <w:rsid w:val="5C4C0928"/>
    <w:rsid w:val="5C4D65BB"/>
    <w:rsid w:val="5C504816"/>
    <w:rsid w:val="5C50666A"/>
    <w:rsid w:val="5C5305C6"/>
    <w:rsid w:val="5C5510C9"/>
    <w:rsid w:val="5C5679F9"/>
    <w:rsid w:val="5C58107B"/>
    <w:rsid w:val="5C584A0D"/>
    <w:rsid w:val="5C58551F"/>
    <w:rsid w:val="5C5D0D87"/>
    <w:rsid w:val="5C6043D4"/>
    <w:rsid w:val="5C64154B"/>
    <w:rsid w:val="5C6429DB"/>
    <w:rsid w:val="5C653798"/>
    <w:rsid w:val="5C6555AC"/>
    <w:rsid w:val="5C6739B4"/>
    <w:rsid w:val="5C6A5252"/>
    <w:rsid w:val="5C6B7CDD"/>
    <w:rsid w:val="5C6C4B26"/>
    <w:rsid w:val="5C6F4617"/>
    <w:rsid w:val="5C7019C3"/>
    <w:rsid w:val="5C741C2D"/>
    <w:rsid w:val="5C757E7F"/>
    <w:rsid w:val="5C7659A5"/>
    <w:rsid w:val="5C767826"/>
    <w:rsid w:val="5C79623E"/>
    <w:rsid w:val="5C797243"/>
    <w:rsid w:val="5C7B120D"/>
    <w:rsid w:val="5C7B2FBB"/>
    <w:rsid w:val="5C7D31D8"/>
    <w:rsid w:val="5C7D6D34"/>
    <w:rsid w:val="5C7F2AAC"/>
    <w:rsid w:val="5C8005D2"/>
    <w:rsid w:val="5C80260D"/>
    <w:rsid w:val="5C806824"/>
    <w:rsid w:val="5C8207EE"/>
    <w:rsid w:val="5C844566"/>
    <w:rsid w:val="5C855BE8"/>
    <w:rsid w:val="5C8A56BD"/>
    <w:rsid w:val="5C8F6A67"/>
    <w:rsid w:val="5C950521"/>
    <w:rsid w:val="5C9522CF"/>
    <w:rsid w:val="5C967DF5"/>
    <w:rsid w:val="5C974299"/>
    <w:rsid w:val="5C97586A"/>
    <w:rsid w:val="5C983B6D"/>
    <w:rsid w:val="5C9B365E"/>
    <w:rsid w:val="5C9B540C"/>
    <w:rsid w:val="5C9D2F32"/>
    <w:rsid w:val="5C9F2BA9"/>
    <w:rsid w:val="5C9F4EFC"/>
    <w:rsid w:val="5CA051D4"/>
    <w:rsid w:val="5CA11AC7"/>
    <w:rsid w:val="5CA50038"/>
    <w:rsid w:val="5CA73DB1"/>
    <w:rsid w:val="5CAA564F"/>
    <w:rsid w:val="5CAC586B"/>
    <w:rsid w:val="5CAC6EDF"/>
    <w:rsid w:val="5CB0535B"/>
    <w:rsid w:val="5CB35043"/>
    <w:rsid w:val="5CB462A5"/>
    <w:rsid w:val="5CB47963"/>
    <w:rsid w:val="5CB87D6C"/>
    <w:rsid w:val="5CB941C4"/>
    <w:rsid w:val="5CBA1D36"/>
    <w:rsid w:val="5CBB0F9F"/>
    <w:rsid w:val="5CBB785C"/>
    <w:rsid w:val="5CBC247D"/>
    <w:rsid w:val="5CC04E72"/>
    <w:rsid w:val="5CC11316"/>
    <w:rsid w:val="5CC130C4"/>
    <w:rsid w:val="5CC22998"/>
    <w:rsid w:val="5CC6692D"/>
    <w:rsid w:val="5CC74453"/>
    <w:rsid w:val="5CC76201"/>
    <w:rsid w:val="5CC85FC5"/>
    <w:rsid w:val="5CC97269"/>
    <w:rsid w:val="5CCB1749"/>
    <w:rsid w:val="5CCC3817"/>
    <w:rsid w:val="5CCE758F"/>
    <w:rsid w:val="5CD01559"/>
    <w:rsid w:val="5CD10E2D"/>
    <w:rsid w:val="5CD1707F"/>
    <w:rsid w:val="5CD526CC"/>
    <w:rsid w:val="5CD858CE"/>
    <w:rsid w:val="5CD96E3F"/>
    <w:rsid w:val="5CDA23D8"/>
    <w:rsid w:val="5CDA4186"/>
    <w:rsid w:val="5CDC1CBA"/>
    <w:rsid w:val="5CDC56DF"/>
    <w:rsid w:val="5CDD5A24"/>
    <w:rsid w:val="5CDD77D2"/>
    <w:rsid w:val="5CDF354A"/>
    <w:rsid w:val="5CE15514"/>
    <w:rsid w:val="5CE40B61"/>
    <w:rsid w:val="5CE5663B"/>
    <w:rsid w:val="5CE82AF2"/>
    <w:rsid w:val="5CEC5C67"/>
    <w:rsid w:val="5CEE34F6"/>
    <w:rsid w:val="5CEE378D"/>
    <w:rsid w:val="5CEE5E83"/>
    <w:rsid w:val="5CF02414"/>
    <w:rsid w:val="5CF05758"/>
    <w:rsid w:val="5CF1327E"/>
    <w:rsid w:val="5CF143D1"/>
    <w:rsid w:val="5CF3268D"/>
    <w:rsid w:val="5CF3349A"/>
    <w:rsid w:val="5CF50FC0"/>
    <w:rsid w:val="5CF54B1C"/>
    <w:rsid w:val="5CF80AB0"/>
    <w:rsid w:val="5CFB5EAA"/>
    <w:rsid w:val="5CFB7527"/>
    <w:rsid w:val="5D017965"/>
    <w:rsid w:val="5D027239"/>
    <w:rsid w:val="5D041203"/>
    <w:rsid w:val="5D04446A"/>
    <w:rsid w:val="5D0631CD"/>
    <w:rsid w:val="5D071DDC"/>
    <w:rsid w:val="5D0B433F"/>
    <w:rsid w:val="5D0C00B7"/>
    <w:rsid w:val="5D0E3E30"/>
    <w:rsid w:val="5D101956"/>
    <w:rsid w:val="5D121B72"/>
    <w:rsid w:val="5D137698"/>
    <w:rsid w:val="5D14180F"/>
    <w:rsid w:val="5D1443E0"/>
    <w:rsid w:val="5D1458EA"/>
    <w:rsid w:val="5D186A5C"/>
    <w:rsid w:val="5D1A08E9"/>
    <w:rsid w:val="5D1A4582"/>
    <w:rsid w:val="5D1C02FB"/>
    <w:rsid w:val="5D1D22C5"/>
    <w:rsid w:val="5D1E0063"/>
    <w:rsid w:val="5D1E1A64"/>
    <w:rsid w:val="5D215911"/>
    <w:rsid w:val="5D23755F"/>
    <w:rsid w:val="5D26561D"/>
    <w:rsid w:val="5D284EF1"/>
    <w:rsid w:val="5D296EBB"/>
    <w:rsid w:val="5D2D583F"/>
    <w:rsid w:val="5D2D69AC"/>
    <w:rsid w:val="5D2E6280"/>
    <w:rsid w:val="5D301FF8"/>
    <w:rsid w:val="5D303DA6"/>
    <w:rsid w:val="5D331AE8"/>
    <w:rsid w:val="5D333896"/>
    <w:rsid w:val="5D3543B8"/>
    <w:rsid w:val="5D355860"/>
    <w:rsid w:val="5D35760E"/>
    <w:rsid w:val="5D414205"/>
    <w:rsid w:val="5D447851"/>
    <w:rsid w:val="5D465377"/>
    <w:rsid w:val="5D4810F0"/>
    <w:rsid w:val="5D4A130C"/>
    <w:rsid w:val="5D4B5084"/>
    <w:rsid w:val="5D4C593F"/>
    <w:rsid w:val="5D4D4958"/>
    <w:rsid w:val="5D535CE6"/>
    <w:rsid w:val="5D551A5E"/>
    <w:rsid w:val="5D557CB0"/>
    <w:rsid w:val="5D5757D7"/>
    <w:rsid w:val="5D5A0E23"/>
    <w:rsid w:val="5D5B27A1"/>
    <w:rsid w:val="5D5C131E"/>
    <w:rsid w:val="5D5C2DED"/>
    <w:rsid w:val="5D5C7C44"/>
    <w:rsid w:val="5D5E4DB7"/>
    <w:rsid w:val="5D610403"/>
    <w:rsid w:val="5D616655"/>
    <w:rsid w:val="5D6323CD"/>
    <w:rsid w:val="5D6416C7"/>
    <w:rsid w:val="5D641CA2"/>
    <w:rsid w:val="5D6453EC"/>
    <w:rsid w:val="5D656145"/>
    <w:rsid w:val="5D67264C"/>
    <w:rsid w:val="5D681792"/>
    <w:rsid w:val="5D6972B8"/>
    <w:rsid w:val="5D6A15DA"/>
    <w:rsid w:val="5D6A1CEA"/>
    <w:rsid w:val="5D6A2978"/>
    <w:rsid w:val="5D6A375C"/>
    <w:rsid w:val="5D700646"/>
    <w:rsid w:val="5D720862"/>
    <w:rsid w:val="5D72616D"/>
    <w:rsid w:val="5D727C58"/>
    <w:rsid w:val="5D752101"/>
    <w:rsid w:val="5D753EAF"/>
    <w:rsid w:val="5D78495C"/>
    <w:rsid w:val="5D79574D"/>
    <w:rsid w:val="5D7A09BD"/>
    <w:rsid w:val="5D7A14C5"/>
    <w:rsid w:val="5D7C523D"/>
    <w:rsid w:val="5D7E0FB5"/>
    <w:rsid w:val="5D7E7207"/>
    <w:rsid w:val="5D8130C8"/>
    <w:rsid w:val="5D81714F"/>
    <w:rsid w:val="5D83037A"/>
    <w:rsid w:val="5D855AD0"/>
    <w:rsid w:val="5D881E34"/>
    <w:rsid w:val="5D894A1C"/>
    <w:rsid w:val="5D8958E1"/>
    <w:rsid w:val="5D8A795A"/>
    <w:rsid w:val="5D8B1FAD"/>
    <w:rsid w:val="5D8D11F8"/>
    <w:rsid w:val="5D8D4300"/>
    <w:rsid w:val="5D8E38D0"/>
    <w:rsid w:val="5D9200D4"/>
    <w:rsid w:val="5D924A61"/>
    <w:rsid w:val="5D953CF6"/>
    <w:rsid w:val="5D981248"/>
    <w:rsid w:val="5D997B9D"/>
    <w:rsid w:val="5D9B1B67"/>
    <w:rsid w:val="5D9C768D"/>
    <w:rsid w:val="5D9E3405"/>
    <w:rsid w:val="5DA0717E"/>
    <w:rsid w:val="5DA402F0"/>
    <w:rsid w:val="5DA447BC"/>
    <w:rsid w:val="5DA56542"/>
    <w:rsid w:val="5DA6050C"/>
    <w:rsid w:val="5DA65D35"/>
    <w:rsid w:val="5DA86032"/>
    <w:rsid w:val="5DAA7FFC"/>
    <w:rsid w:val="5DAD53F7"/>
    <w:rsid w:val="5DAF5613"/>
    <w:rsid w:val="5DB03139"/>
    <w:rsid w:val="5DB06C95"/>
    <w:rsid w:val="5DB1138B"/>
    <w:rsid w:val="5DB46785"/>
    <w:rsid w:val="5DB669A1"/>
    <w:rsid w:val="5DB70023"/>
    <w:rsid w:val="5DB721B5"/>
    <w:rsid w:val="5DB77B5F"/>
    <w:rsid w:val="5DB824CF"/>
    <w:rsid w:val="5DBC1ADE"/>
    <w:rsid w:val="5DBE6BF1"/>
    <w:rsid w:val="5DC015CE"/>
    <w:rsid w:val="5DC0337C"/>
    <w:rsid w:val="5DC21E32"/>
    <w:rsid w:val="5DC50992"/>
    <w:rsid w:val="5DC60BE3"/>
    <w:rsid w:val="5DC82082"/>
    <w:rsid w:val="5DC90B50"/>
    <w:rsid w:val="5DC9487D"/>
    <w:rsid w:val="5DCA2F4E"/>
    <w:rsid w:val="5DCA7D57"/>
    <w:rsid w:val="5DCD7847"/>
    <w:rsid w:val="5DCF35BF"/>
    <w:rsid w:val="5DCF7A63"/>
    <w:rsid w:val="5DD13BCE"/>
    <w:rsid w:val="5DD24E5D"/>
    <w:rsid w:val="5DD40BD5"/>
    <w:rsid w:val="5DD47E86"/>
    <w:rsid w:val="5DD5494D"/>
    <w:rsid w:val="5DD60DF1"/>
    <w:rsid w:val="5DD9048F"/>
    <w:rsid w:val="5DD92690"/>
    <w:rsid w:val="5DDB1F64"/>
    <w:rsid w:val="5DDB5188"/>
    <w:rsid w:val="5DDC5CDC"/>
    <w:rsid w:val="5DDE1A54"/>
    <w:rsid w:val="5DDE3802"/>
    <w:rsid w:val="5DE03A1E"/>
    <w:rsid w:val="5DE055FE"/>
    <w:rsid w:val="5DEB5F1F"/>
    <w:rsid w:val="5DEC23C3"/>
    <w:rsid w:val="5DF26CEA"/>
    <w:rsid w:val="5DF41277"/>
    <w:rsid w:val="5DF43025"/>
    <w:rsid w:val="5DF66D9E"/>
    <w:rsid w:val="5DF9688E"/>
    <w:rsid w:val="5DFC1EDA"/>
    <w:rsid w:val="5E0314BA"/>
    <w:rsid w:val="5E033269"/>
    <w:rsid w:val="5E062D59"/>
    <w:rsid w:val="5E064456"/>
    <w:rsid w:val="5E072D15"/>
    <w:rsid w:val="5E08087F"/>
    <w:rsid w:val="5E086AD1"/>
    <w:rsid w:val="5E0E058B"/>
    <w:rsid w:val="5E1100D9"/>
    <w:rsid w:val="5E115985"/>
    <w:rsid w:val="5E1501E6"/>
    <w:rsid w:val="5E167440"/>
    <w:rsid w:val="5E1753DB"/>
    <w:rsid w:val="5E192A8C"/>
    <w:rsid w:val="5E1E00A2"/>
    <w:rsid w:val="5E1E62F4"/>
    <w:rsid w:val="5E23390B"/>
    <w:rsid w:val="5E23397E"/>
    <w:rsid w:val="5E2558D5"/>
    <w:rsid w:val="5E257683"/>
    <w:rsid w:val="5E2733FB"/>
    <w:rsid w:val="5E2751A9"/>
    <w:rsid w:val="5E287173"/>
    <w:rsid w:val="5E2A2EEB"/>
    <w:rsid w:val="5E2A4C99"/>
    <w:rsid w:val="5E2D6537"/>
    <w:rsid w:val="5E2E29DB"/>
    <w:rsid w:val="5E2F405E"/>
    <w:rsid w:val="5E323B4E"/>
    <w:rsid w:val="5E324AF8"/>
    <w:rsid w:val="5E345B18"/>
    <w:rsid w:val="5E3478C6"/>
    <w:rsid w:val="5E3706B3"/>
    <w:rsid w:val="5E394EDC"/>
    <w:rsid w:val="5E3D2C1E"/>
    <w:rsid w:val="5E3D49CC"/>
    <w:rsid w:val="5E4044BD"/>
    <w:rsid w:val="5E451AD3"/>
    <w:rsid w:val="5E483371"/>
    <w:rsid w:val="5E484209"/>
    <w:rsid w:val="5E4B6C09"/>
    <w:rsid w:val="5E4C188F"/>
    <w:rsid w:val="5E4C2E61"/>
    <w:rsid w:val="5E4E6BDA"/>
    <w:rsid w:val="5E4F014E"/>
    <w:rsid w:val="5E4F2952"/>
    <w:rsid w:val="5E4F64AE"/>
    <w:rsid w:val="5E5166CA"/>
    <w:rsid w:val="5E5230B5"/>
    <w:rsid w:val="5E5341F0"/>
    <w:rsid w:val="5E563CE0"/>
    <w:rsid w:val="5E565871"/>
    <w:rsid w:val="5E581806"/>
    <w:rsid w:val="5E5835B4"/>
    <w:rsid w:val="5E59557E"/>
    <w:rsid w:val="5E5A37D0"/>
    <w:rsid w:val="5E5B12F6"/>
    <w:rsid w:val="5E5B30A5"/>
    <w:rsid w:val="5E5B7AAE"/>
    <w:rsid w:val="5E6072DD"/>
    <w:rsid w:val="5E624433"/>
    <w:rsid w:val="5E631F59"/>
    <w:rsid w:val="5E666027"/>
    <w:rsid w:val="5E6F6B50"/>
    <w:rsid w:val="5E710FB1"/>
    <w:rsid w:val="5E72701B"/>
    <w:rsid w:val="5E7303EE"/>
    <w:rsid w:val="5E744166"/>
    <w:rsid w:val="5E785A05"/>
    <w:rsid w:val="5E7B3747"/>
    <w:rsid w:val="5E7B54F5"/>
    <w:rsid w:val="5E7B72A3"/>
    <w:rsid w:val="5E7E2E48"/>
    <w:rsid w:val="5E7E6D93"/>
    <w:rsid w:val="5E7F3237"/>
    <w:rsid w:val="5E7F4FE5"/>
    <w:rsid w:val="5E805BF1"/>
    <w:rsid w:val="5E84014A"/>
    <w:rsid w:val="5E850121"/>
    <w:rsid w:val="5E860320"/>
    <w:rsid w:val="5E8720EC"/>
    <w:rsid w:val="5E8A398A"/>
    <w:rsid w:val="5E8A3FBC"/>
    <w:rsid w:val="5E8A5738"/>
    <w:rsid w:val="5E8C5954"/>
    <w:rsid w:val="5E8E6FD6"/>
    <w:rsid w:val="5E8F2D4E"/>
    <w:rsid w:val="5E9071F2"/>
    <w:rsid w:val="5E914D18"/>
    <w:rsid w:val="5E93283E"/>
    <w:rsid w:val="5E9367AF"/>
    <w:rsid w:val="5E9503D7"/>
    <w:rsid w:val="5E96232F"/>
    <w:rsid w:val="5E9842F9"/>
    <w:rsid w:val="5E9860A7"/>
    <w:rsid w:val="5E99597B"/>
    <w:rsid w:val="5E9A3AB1"/>
    <w:rsid w:val="5E9B16F3"/>
    <w:rsid w:val="5E9B7945"/>
    <w:rsid w:val="5E9D546B"/>
    <w:rsid w:val="5EA031AD"/>
    <w:rsid w:val="5EA44A4C"/>
    <w:rsid w:val="5EA467FA"/>
    <w:rsid w:val="5EA507C4"/>
    <w:rsid w:val="5EA54320"/>
    <w:rsid w:val="5EA902B4"/>
    <w:rsid w:val="5EA93E10"/>
    <w:rsid w:val="5EAC38A1"/>
    <w:rsid w:val="5EAC56AE"/>
    <w:rsid w:val="5EAD25AF"/>
    <w:rsid w:val="5EAD7356"/>
    <w:rsid w:val="5EB10F16"/>
    <w:rsid w:val="5EB17168"/>
    <w:rsid w:val="5EB34C8F"/>
    <w:rsid w:val="5EB506B9"/>
    <w:rsid w:val="5EB822A5"/>
    <w:rsid w:val="5EB82CA6"/>
    <w:rsid w:val="5EB86749"/>
    <w:rsid w:val="5EBB7FE7"/>
    <w:rsid w:val="5EBD78BB"/>
    <w:rsid w:val="5EBE53E1"/>
    <w:rsid w:val="5EBF3633"/>
    <w:rsid w:val="5EC21376"/>
    <w:rsid w:val="5EC56770"/>
    <w:rsid w:val="5ECB022A"/>
    <w:rsid w:val="5ECB647C"/>
    <w:rsid w:val="5ECC3D6F"/>
    <w:rsid w:val="5ECC5D50"/>
    <w:rsid w:val="5ECC7AFE"/>
    <w:rsid w:val="5ECD0B1B"/>
    <w:rsid w:val="5ECE1AC8"/>
    <w:rsid w:val="5ED03A93"/>
    <w:rsid w:val="5ED052C1"/>
    <w:rsid w:val="5ED4728A"/>
    <w:rsid w:val="5ED56E00"/>
    <w:rsid w:val="5ED61133"/>
    <w:rsid w:val="5ED82947"/>
    <w:rsid w:val="5ED846F5"/>
    <w:rsid w:val="5ED85791"/>
    <w:rsid w:val="5EDA66BF"/>
    <w:rsid w:val="5EDC0F6E"/>
    <w:rsid w:val="5EDF3926"/>
    <w:rsid w:val="5EE017FC"/>
    <w:rsid w:val="5EE17A4E"/>
    <w:rsid w:val="5EE25574"/>
    <w:rsid w:val="5EE4309A"/>
    <w:rsid w:val="5EE4753E"/>
    <w:rsid w:val="5EE65064"/>
    <w:rsid w:val="5EE906B0"/>
    <w:rsid w:val="5EE96902"/>
    <w:rsid w:val="5EEA3AE8"/>
    <w:rsid w:val="5EEA61D6"/>
    <w:rsid w:val="5EEC63F2"/>
    <w:rsid w:val="5EEE3F19"/>
    <w:rsid w:val="5EF13A09"/>
    <w:rsid w:val="5EF157B7"/>
    <w:rsid w:val="5EF414B4"/>
    <w:rsid w:val="5EF41AEB"/>
    <w:rsid w:val="5EF57055"/>
    <w:rsid w:val="5EF7101F"/>
    <w:rsid w:val="5EFB03E4"/>
    <w:rsid w:val="5EFF1C82"/>
    <w:rsid w:val="5EFF6126"/>
    <w:rsid w:val="5F0059FA"/>
    <w:rsid w:val="5F0157EA"/>
    <w:rsid w:val="5F025C16"/>
    <w:rsid w:val="5F0279C4"/>
    <w:rsid w:val="5F074FDA"/>
    <w:rsid w:val="5F090D52"/>
    <w:rsid w:val="5F0B0627"/>
    <w:rsid w:val="5F0D3DD3"/>
    <w:rsid w:val="5F105C3D"/>
    <w:rsid w:val="5F1119B5"/>
    <w:rsid w:val="5F117C07"/>
    <w:rsid w:val="5F166FCB"/>
    <w:rsid w:val="5F17346F"/>
    <w:rsid w:val="5F180EE5"/>
    <w:rsid w:val="5F1A2F60"/>
    <w:rsid w:val="5F1C2834"/>
    <w:rsid w:val="5F1D47FE"/>
    <w:rsid w:val="5F1F0E01"/>
    <w:rsid w:val="5F1F2324"/>
    <w:rsid w:val="5F1F3B6A"/>
    <w:rsid w:val="5F1F40D2"/>
    <w:rsid w:val="5F1F7677"/>
    <w:rsid w:val="5F21609C"/>
    <w:rsid w:val="5F223BC2"/>
    <w:rsid w:val="5F225970"/>
    <w:rsid w:val="5F2405EC"/>
    <w:rsid w:val="5F2416E8"/>
    <w:rsid w:val="5F245B8C"/>
    <w:rsid w:val="5F2636B2"/>
    <w:rsid w:val="5F265461"/>
    <w:rsid w:val="5F27742B"/>
    <w:rsid w:val="5F2D2C93"/>
    <w:rsid w:val="5F2E3428"/>
    <w:rsid w:val="5F304531"/>
    <w:rsid w:val="5F311A8C"/>
    <w:rsid w:val="5F3202A9"/>
    <w:rsid w:val="5F32177B"/>
    <w:rsid w:val="5F322057"/>
    <w:rsid w:val="5F3538F6"/>
    <w:rsid w:val="5F385194"/>
    <w:rsid w:val="5F39021E"/>
    <w:rsid w:val="5F3A6F57"/>
    <w:rsid w:val="5F3A715E"/>
    <w:rsid w:val="5F3B61B3"/>
    <w:rsid w:val="5F3C5F70"/>
    <w:rsid w:val="5F3D27AA"/>
    <w:rsid w:val="5F3F29C6"/>
    <w:rsid w:val="5F3F4774"/>
    <w:rsid w:val="5F447FDD"/>
    <w:rsid w:val="5F465B03"/>
    <w:rsid w:val="5F4678B1"/>
    <w:rsid w:val="5F473629"/>
    <w:rsid w:val="5F48187B"/>
    <w:rsid w:val="5F487ACD"/>
    <w:rsid w:val="5F4B136B"/>
    <w:rsid w:val="5F4E6098"/>
    <w:rsid w:val="5F4E6765"/>
    <w:rsid w:val="5F50072F"/>
    <w:rsid w:val="5F530220"/>
    <w:rsid w:val="5F542CA1"/>
    <w:rsid w:val="5F555D46"/>
    <w:rsid w:val="5F585836"/>
    <w:rsid w:val="5F586378"/>
    <w:rsid w:val="5F5875E4"/>
    <w:rsid w:val="5F593A88"/>
    <w:rsid w:val="5F596331"/>
    <w:rsid w:val="5F5A335C"/>
    <w:rsid w:val="5F5F0972"/>
    <w:rsid w:val="5F5F2560"/>
    <w:rsid w:val="5F5F6BC4"/>
    <w:rsid w:val="5F6146EB"/>
    <w:rsid w:val="5F64242D"/>
    <w:rsid w:val="5F655DAB"/>
    <w:rsid w:val="5F667F53"/>
    <w:rsid w:val="5F681F1D"/>
    <w:rsid w:val="5F683CCB"/>
    <w:rsid w:val="5F697A43"/>
    <w:rsid w:val="5F6B1C1D"/>
    <w:rsid w:val="5F6B7317"/>
    <w:rsid w:val="5F6D12E1"/>
    <w:rsid w:val="5F71128A"/>
    <w:rsid w:val="5F7206A6"/>
    <w:rsid w:val="5F7408C2"/>
    <w:rsid w:val="5F750196"/>
    <w:rsid w:val="5F750250"/>
    <w:rsid w:val="5F772160"/>
    <w:rsid w:val="5F797C86"/>
    <w:rsid w:val="5F7A39FE"/>
    <w:rsid w:val="5F8108E9"/>
    <w:rsid w:val="5F8215E5"/>
    <w:rsid w:val="5F8328B3"/>
    <w:rsid w:val="5F832D98"/>
    <w:rsid w:val="5F84662B"/>
    <w:rsid w:val="5F85487D"/>
    <w:rsid w:val="5F893C3D"/>
    <w:rsid w:val="5F893C41"/>
    <w:rsid w:val="5F8B79B9"/>
    <w:rsid w:val="5F8D3732"/>
    <w:rsid w:val="5F8E28F9"/>
    <w:rsid w:val="5F8E3006"/>
    <w:rsid w:val="5F900A45"/>
    <w:rsid w:val="5F903222"/>
    <w:rsid w:val="5F904772"/>
    <w:rsid w:val="5F917744"/>
    <w:rsid w:val="5F920D48"/>
    <w:rsid w:val="5F944AC0"/>
    <w:rsid w:val="5F955517"/>
    <w:rsid w:val="5F9920D6"/>
    <w:rsid w:val="5F9A5E4E"/>
    <w:rsid w:val="5F9F3465"/>
    <w:rsid w:val="5FA01F9D"/>
    <w:rsid w:val="5FA148BD"/>
    <w:rsid w:val="5FA36AB1"/>
    <w:rsid w:val="5FA647F3"/>
    <w:rsid w:val="5FA665A1"/>
    <w:rsid w:val="5FAD6EB4"/>
    <w:rsid w:val="5FAF36A8"/>
    <w:rsid w:val="5FB04FF9"/>
    <w:rsid w:val="5FB32A6C"/>
    <w:rsid w:val="5FB40CBE"/>
    <w:rsid w:val="5FB46F10"/>
    <w:rsid w:val="5FB962D5"/>
    <w:rsid w:val="5FBA204D"/>
    <w:rsid w:val="5FBB1776"/>
    <w:rsid w:val="5FBC5DC5"/>
    <w:rsid w:val="5FBC7B73"/>
    <w:rsid w:val="5FBE1B3D"/>
    <w:rsid w:val="5FBF0F0E"/>
    <w:rsid w:val="5FBF6023"/>
    <w:rsid w:val="5FBF69B6"/>
    <w:rsid w:val="5FC41398"/>
    <w:rsid w:val="5FC52ECB"/>
    <w:rsid w:val="5FC627A0"/>
    <w:rsid w:val="5FC77D19"/>
    <w:rsid w:val="5FCA04E2"/>
    <w:rsid w:val="5FCA6734"/>
    <w:rsid w:val="5FCD3B2E"/>
    <w:rsid w:val="5FCD3B8B"/>
    <w:rsid w:val="5FCD48D6"/>
    <w:rsid w:val="5FCF3D4A"/>
    <w:rsid w:val="5FCF5AF8"/>
    <w:rsid w:val="5FD17AC2"/>
    <w:rsid w:val="5FD362BC"/>
    <w:rsid w:val="5FD41360"/>
    <w:rsid w:val="5FD50C35"/>
    <w:rsid w:val="5FD650D9"/>
    <w:rsid w:val="5FD7522C"/>
    <w:rsid w:val="5FDC772C"/>
    <w:rsid w:val="5FDF108A"/>
    <w:rsid w:val="5FDF3861"/>
    <w:rsid w:val="5FE02D71"/>
    <w:rsid w:val="5FE13A7D"/>
    <w:rsid w:val="5FE1582B"/>
    <w:rsid w:val="5FE315A4"/>
    <w:rsid w:val="5FE41E12"/>
    <w:rsid w:val="5FE570CA"/>
    <w:rsid w:val="5FE62E42"/>
    <w:rsid w:val="5FEA0B84"/>
    <w:rsid w:val="5FEA2932"/>
    <w:rsid w:val="5FEA30B3"/>
    <w:rsid w:val="5FEB1B9D"/>
    <w:rsid w:val="5FEB4543"/>
    <w:rsid w:val="5FEC48FC"/>
    <w:rsid w:val="5FED5F7E"/>
    <w:rsid w:val="5FEF1CF6"/>
    <w:rsid w:val="5FEF619A"/>
    <w:rsid w:val="5FEF7F48"/>
    <w:rsid w:val="5FF11F12"/>
    <w:rsid w:val="5FF217E7"/>
    <w:rsid w:val="5FF27A39"/>
    <w:rsid w:val="5FF437B1"/>
    <w:rsid w:val="5FF46D36"/>
    <w:rsid w:val="5FF64227"/>
    <w:rsid w:val="5FF91718"/>
    <w:rsid w:val="5FF92B75"/>
    <w:rsid w:val="5FF94823"/>
    <w:rsid w:val="5FFB4B3F"/>
    <w:rsid w:val="5FFC2665"/>
    <w:rsid w:val="5FFC4413"/>
    <w:rsid w:val="5FFE462F"/>
    <w:rsid w:val="5FFE63DD"/>
    <w:rsid w:val="60002155"/>
    <w:rsid w:val="600450EA"/>
    <w:rsid w:val="6005151A"/>
    <w:rsid w:val="60065292"/>
    <w:rsid w:val="60067040"/>
    <w:rsid w:val="600734E4"/>
    <w:rsid w:val="6008771C"/>
    <w:rsid w:val="600D4872"/>
    <w:rsid w:val="60107EBF"/>
    <w:rsid w:val="60116111"/>
    <w:rsid w:val="6011625E"/>
    <w:rsid w:val="60150B9A"/>
    <w:rsid w:val="60163727"/>
    <w:rsid w:val="601B2AEB"/>
    <w:rsid w:val="601D2D07"/>
    <w:rsid w:val="601E082E"/>
    <w:rsid w:val="601E25DC"/>
    <w:rsid w:val="601E438A"/>
    <w:rsid w:val="6025396A"/>
    <w:rsid w:val="60261BC5"/>
    <w:rsid w:val="602776E2"/>
    <w:rsid w:val="602B45A7"/>
    <w:rsid w:val="602F2A3B"/>
    <w:rsid w:val="602F47E9"/>
    <w:rsid w:val="6034779D"/>
    <w:rsid w:val="603911C4"/>
    <w:rsid w:val="603C32CD"/>
    <w:rsid w:val="603D5158"/>
    <w:rsid w:val="603D6F06"/>
    <w:rsid w:val="603E67DA"/>
    <w:rsid w:val="60400155"/>
    <w:rsid w:val="6042276E"/>
    <w:rsid w:val="60433DF0"/>
    <w:rsid w:val="60471B32"/>
    <w:rsid w:val="60477D84"/>
    <w:rsid w:val="60487F1F"/>
    <w:rsid w:val="604A517F"/>
    <w:rsid w:val="604C7149"/>
    <w:rsid w:val="604D2EC1"/>
    <w:rsid w:val="604D57AA"/>
    <w:rsid w:val="604F4E8B"/>
    <w:rsid w:val="6051475F"/>
    <w:rsid w:val="605204D7"/>
    <w:rsid w:val="605304A3"/>
    <w:rsid w:val="6054424F"/>
    <w:rsid w:val="60566219"/>
    <w:rsid w:val="605C0804"/>
    <w:rsid w:val="605C4EB2"/>
    <w:rsid w:val="60600E46"/>
    <w:rsid w:val="60602BF4"/>
    <w:rsid w:val="60624BBE"/>
    <w:rsid w:val="60625B06"/>
    <w:rsid w:val="60631B06"/>
    <w:rsid w:val="60636240"/>
    <w:rsid w:val="6065020A"/>
    <w:rsid w:val="606645B0"/>
    <w:rsid w:val="606721D5"/>
    <w:rsid w:val="60675D31"/>
    <w:rsid w:val="60681AA9"/>
    <w:rsid w:val="606E1F64"/>
    <w:rsid w:val="60732927"/>
    <w:rsid w:val="60762418"/>
    <w:rsid w:val="607641C6"/>
    <w:rsid w:val="60777FDD"/>
    <w:rsid w:val="60786190"/>
    <w:rsid w:val="607B17DC"/>
    <w:rsid w:val="607B695E"/>
    <w:rsid w:val="607B7A2E"/>
    <w:rsid w:val="607D5554"/>
    <w:rsid w:val="607E751E"/>
    <w:rsid w:val="607F676F"/>
    <w:rsid w:val="60806DF2"/>
    <w:rsid w:val="608130DF"/>
    <w:rsid w:val="60820DBC"/>
    <w:rsid w:val="60831C82"/>
    <w:rsid w:val="6085265B"/>
    <w:rsid w:val="60870181"/>
    <w:rsid w:val="608763D3"/>
    <w:rsid w:val="60883EF9"/>
    <w:rsid w:val="60887821"/>
    <w:rsid w:val="608A4105"/>
    <w:rsid w:val="608A5EC3"/>
    <w:rsid w:val="608F34D9"/>
    <w:rsid w:val="60911000"/>
    <w:rsid w:val="60912DAE"/>
    <w:rsid w:val="609334A3"/>
    <w:rsid w:val="60934D78"/>
    <w:rsid w:val="60936B26"/>
    <w:rsid w:val="60940AF0"/>
    <w:rsid w:val="609603C4"/>
    <w:rsid w:val="609664CC"/>
    <w:rsid w:val="60966616"/>
    <w:rsid w:val="6098238E"/>
    <w:rsid w:val="6098413C"/>
    <w:rsid w:val="60997EB4"/>
    <w:rsid w:val="609C21AA"/>
    <w:rsid w:val="609D4491"/>
    <w:rsid w:val="609E54CA"/>
    <w:rsid w:val="60A056E7"/>
    <w:rsid w:val="60A07495"/>
    <w:rsid w:val="60A24FBB"/>
    <w:rsid w:val="60A30D33"/>
    <w:rsid w:val="60A46F85"/>
    <w:rsid w:val="60A52CFD"/>
    <w:rsid w:val="60A56859"/>
    <w:rsid w:val="60A644EA"/>
    <w:rsid w:val="60A800F7"/>
    <w:rsid w:val="60A9459B"/>
    <w:rsid w:val="60AA20C1"/>
    <w:rsid w:val="60AE1BB1"/>
    <w:rsid w:val="60AE3960"/>
    <w:rsid w:val="60AF76D8"/>
    <w:rsid w:val="60B0559C"/>
    <w:rsid w:val="60B13450"/>
    <w:rsid w:val="60B151FE"/>
    <w:rsid w:val="60B47835"/>
    <w:rsid w:val="60B60A66"/>
    <w:rsid w:val="60B62814"/>
    <w:rsid w:val="60B71EF9"/>
    <w:rsid w:val="60B7289E"/>
    <w:rsid w:val="60BB607C"/>
    <w:rsid w:val="60BC29F1"/>
    <w:rsid w:val="60C018E5"/>
    <w:rsid w:val="60C2565D"/>
    <w:rsid w:val="60C44F62"/>
    <w:rsid w:val="60C72C73"/>
    <w:rsid w:val="60C74A21"/>
    <w:rsid w:val="60C969EB"/>
    <w:rsid w:val="60CA4511"/>
    <w:rsid w:val="60CE4002"/>
    <w:rsid w:val="60CE5E74"/>
    <w:rsid w:val="60D333C6"/>
    <w:rsid w:val="60D40EEC"/>
    <w:rsid w:val="60D44B41"/>
    <w:rsid w:val="60D4713E"/>
    <w:rsid w:val="60D62EB6"/>
    <w:rsid w:val="60D84E80"/>
    <w:rsid w:val="60D9225C"/>
    <w:rsid w:val="60DA09A8"/>
    <w:rsid w:val="60DA0BF8"/>
    <w:rsid w:val="60DB04CD"/>
    <w:rsid w:val="60DB671F"/>
    <w:rsid w:val="60DF1D6B"/>
    <w:rsid w:val="60E43825"/>
    <w:rsid w:val="60E4448C"/>
    <w:rsid w:val="60E455D3"/>
    <w:rsid w:val="60E76E71"/>
    <w:rsid w:val="60E90E3C"/>
    <w:rsid w:val="60EC092C"/>
    <w:rsid w:val="60EC16AB"/>
    <w:rsid w:val="60EC26DA"/>
    <w:rsid w:val="60EC6236"/>
    <w:rsid w:val="60EE1FAE"/>
    <w:rsid w:val="60EF0A8D"/>
    <w:rsid w:val="60EF5D26"/>
    <w:rsid w:val="60F11A9E"/>
    <w:rsid w:val="60F156B5"/>
    <w:rsid w:val="60F33A68"/>
    <w:rsid w:val="60F375C4"/>
    <w:rsid w:val="60F4333C"/>
    <w:rsid w:val="60F63F31"/>
    <w:rsid w:val="60F670B5"/>
    <w:rsid w:val="60F8107F"/>
    <w:rsid w:val="60FA4DF7"/>
    <w:rsid w:val="60FA6BA5"/>
    <w:rsid w:val="60FB1701"/>
    <w:rsid w:val="60FD0443"/>
    <w:rsid w:val="60FD0F2E"/>
    <w:rsid w:val="60FD48E7"/>
    <w:rsid w:val="60FF065F"/>
    <w:rsid w:val="60FF41BB"/>
    <w:rsid w:val="61007F33"/>
    <w:rsid w:val="610164CF"/>
    <w:rsid w:val="61023CAB"/>
    <w:rsid w:val="61047A23"/>
    <w:rsid w:val="61094D17"/>
    <w:rsid w:val="61094D40"/>
    <w:rsid w:val="610B0DB2"/>
    <w:rsid w:val="610E08A2"/>
    <w:rsid w:val="610E2650"/>
    <w:rsid w:val="610E7D0F"/>
    <w:rsid w:val="6110461A"/>
    <w:rsid w:val="61131A15"/>
    <w:rsid w:val="61194E90"/>
    <w:rsid w:val="611A7247"/>
    <w:rsid w:val="611B4D6D"/>
    <w:rsid w:val="611C318D"/>
    <w:rsid w:val="611D2893"/>
    <w:rsid w:val="61202383"/>
    <w:rsid w:val="6121185D"/>
    <w:rsid w:val="61215C6A"/>
    <w:rsid w:val="612260FC"/>
    <w:rsid w:val="612400C6"/>
    <w:rsid w:val="6126799A"/>
    <w:rsid w:val="61273712"/>
    <w:rsid w:val="61291238"/>
    <w:rsid w:val="612956DC"/>
    <w:rsid w:val="6129748A"/>
    <w:rsid w:val="612B3202"/>
    <w:rsid w:val="612B657A"/>
    <w:rsid w:val="612E684E"/>
    <w:rsid w:val="61300818"/>
    <w:rsid w:val="6131633F"/>
    <w:rsid w:val="61322AE1"/>
    <w:rsid w:val="61354081"/>
    <w:rsid w:val="61354A67"/>
    <w:rsid w:val="61357BDD"/>
    <w:rsid w:val="61371BA7"/>
    <w:rsid w:val="61377D95"/>
    <w:rsid w:val="61382586"/>
    <w:rsid w:val="6138591F"/>
    <w:rsid w:val="61397AE4"/>
    <w:rsid w:val="613D2F35"/>
    <w:rsid w:val="613F280A"/>
    <w:rsid w:val="613F6CAD"/>
    <w:rsid w:val="61410DD1"/>
    <w:rsid w:val="61412A26"/>
    <w:rsid w:val="614147D4"/>
    <w:rsid w:val="61434205"/>
    <w:rsid w:val="6144072B"/>
    <w:rsid w:val="61442516"/>
    <w:rsid w:val="61462A30"/>
    <w:rsid w:val="614B5652"/>
    <w:rsid w:val="614C4F26"/>
    <w:rsid w:val="614E0C9F"/>
    <w:rsid w:val="614F44F1"/>
    <w:rsid w:val="61507A7B"/>
    <w:rsid w:val="6151253D"/>
    <w:rsid w:val="61534507"/>
    <w:rsid w:val="6155027F"/>
    <w:rsid w:val="615547CC"/>
    <w:rsid w:val="6156331E"/>
    <w:rsid w:val="61572249"/>
    <w:rsid w:val="615838CB"/>
    <w:rsid w:val="61587D6F"/>
    <w:rsid w:val="615A3AE7"/>
    <w:rsid w:val="615C785F"/>
    <w:rsid w:val="615F10FE"/>
    <w:rsid w:val="6162474A"/>
    <w:rsid w:val="61656B01"/>
    <w:rsid w:val="6166248C"/>
    <w:rsid w:val="6168596C"/>
    <w:rsid w:val="61695AD8"/>
    <w:rsid w:val="616B1851"/>
    <w:rsid w:val="616B40B4"/>
    <w:rsid w:val="616D5E79"/>
    <w:rsid w:val="616E7E64"/>
    <w:rsid w:val="616F3EC5"/>
    <w:rsid w:val="61700C15"/>
    <w:rsid w:val="61706E67"/>
    <w:rsid w:val="61720E31"/>
    <w:rsid w:val="61721CA7"/>
    <w:rsid w:val="61722BDF"/>
    <w:rsid w:val="61736957"/>
    <w:rsid w:val="61761FA3"/>
    <w:rsid w:val="617701F5"/>
    <w:rsid w:val="61785D1C"/>
    <w:rsid w:val="617A5F38"/>
    <w:rsid w:val="617A7CE6"/>
    <w:rsid w:val="617F52FC"/>
    <w:rsid w:val="61812E22"/>
    <w:rsid w:val="6183303E"/>
    <w:rsid w:val="61840B64"/>
    <w:rsid w:val="618741B1"/>
    <w:rsid w:val="61882403"/>
    <w:rsid w:val="61891CD7"/>
    <w:rsid w:val="618E553F"/>
    <w:rsid w:val="619012B7"/>
    <w:rsid w:val="61903065"/>
    <w:rsid w:val="61925D98"/>
    <w:rsid w:val="61926DDD"/>
    <w:rsid w:val="61954B1F"/>
    <w:rsid w:val="61972646"/>
    <w:rsid w:val="619743F4"/>
    <w:rsid w:val="61994610"/>
    <w:rsid w:val="619A3EE4"/>
    <w:rsid w:val="619A6E81"/>
    <w:rsid w:val="61A11716"/>
    <w:rsid w:val="61A15272"/>
    <w:rsid w:val="61A44D62"/>
    <w:rsid w:val="61A62889"/>
    <w:rsid w:val="61A94127"/>
    <w:rsid w:val="61B03707"/>
    <w:rsid w:val="61B34FA6"/>
    <w:rsid w:val="61B551CA"/>
    <w:rsid w:val="61B825BC"/>
    <w:rsid w:val="61BA22D6"/>
    <w:rsid w:val="61BB6C21"/>
    <w:rsid w:val="61BC02FE"/>
    <w:rsid w:val="61BC3E5A"/>
    <w:rsid w:val="61BE5E24"/>
    <w:rsid w:val="61C176C2"/>
    <w:rsid w:val="61C62F2B"/>
    <w:rsid w:val="61C947C9"/>
    <w:rsid w:val="61C96577"/>
    <w:rsid w:val="61CF0031"/>
    <w:rsid w:val="61D05B58"/>
    <w:rsid w:val="61D4389A"/>
    <w:rsid w:val="61D513C0"/>
    <w:rsid w:val="61D54F1C"/>
    <w:rsid w:val="61D75138"/>
    <w:rsid w:val="61DB4C28"/>
    <w:rsid w:val="61DB6BD8"/>
    <w:rsid w:val="61DC44FC"/>
    <w:rsid w:val="61DC563C"/>
    <w:rsid w:val="61DE0EB4"/>
    <w:rsid w:val="61DF3FED"/>
    <w:rsid w:val="61DF5D9B"/>
    <w:rsid w:val="61E15FB7"/>
    <w:rsid w:val="61E3588B"/>
    <w:rsid w:val="61E643A1"/>
    <w:rsid w:val="61E67129"/>
    <w:rsid w:val="61E84C4F"/>
    <w:rsid w:val="61E86C56"/>
    <w:rsid w:val="61E91EFB"/>
    <w:rsid w:val="61EB2991"/>
    <w:rsid w:val="61EE5FDE"/>
    <w:rsid w:val="61EF4230"/>
    <w:rsid w:val="61F061FA"/>
    <w:rsid w:val="61F1110B"/>
    <w:rsid w:val="61F25ACE"/>
    <w:rsid w:val="61F515AC"/>
    <w:rsid w:val="61F53810"/>
    <w:rsid w:val="61F71336"/>
    <w:rsid w:val="61F9789D"/>
    <w:rsid w:val="61FA4982"/>
    <w:rsid w:val="61FC06FB"/>
    <w:rsid w:val="61FF0E6B"/>
    <w:rsid w:val="620121B5"/>
    <w:rsid w:val="62031A89"/>
    <w:rsid w:val="62053A53"/>
    <w:rsid w:val="62061EA0"/>
    <w:rsid w:val="62066C0B"/>
    <w:rsid w:val="620677CB"/>
    <w:rsid w:val="620852F1"/>
    <w:rsid w:val="620D2908"/>
    <w:rsid w:val="620D46B6"/>
    <w:rsid w:val="620F042E"/>
    <w:rsid w:val="620F48D2"/>
    <w:rsid w:val="620F67EC"/>
    <w:rsid w:val="62105334"/>
    <w:rsid w:val="62126170"/>
    <w:rsid w:val="62143C96"/>
    <w:rsid w:val="62173786"/>
    <w:rsid w:val="621A6DD3"/>
    <w:rsid w:val="622163B3"/>
    <w:rsid w:val="622540F5"/>
    <w:rsid w:val="62254213"/>
    <w:rsid w:val="622814F0"/>
    <w:rsid w:val="6229697B"/>
    <w:rsid w:val="622E7C1C"/>
    <w:rsid w:val="622F0AD0"/>
    <w:rsid w:val="622F6D22"/>
    <w:rsid w:val="6232236E"/>
    <w:rsid w:val="62353C0D"/>
    <w:rsid w:val="623600B0"/>
    <w:rsid w:val="62361E5F"/>
    <w:rsid w:val="62373E29"/>
    <w:rsid w:val="62377985"/>
    <w:rsid w:val="62382C58"/>
    <w:rsid w:val="6239194F"/>
    <w:rsid w:val="623E5FD0"/>
    <w:rsid w:val="623E6F65"/>
    <w:rsid w:val="623F31FD"/>
    <w:rsid w:val="62400FCB"/>
    <w:rsid w:val="62404A8B"/>
    <w:rsid w:val="62407622"/>
    <w:rsid w:val="62426A55"/>
    <w:rsid w:val="624562DE"/>
    <w:rsid w:val="62456545"/>
    <w:rsid w:val="62483940"/>
    <w:rsid w:val="62487DE4"/>
    <w:rsid w:val="624A3B5C"/>
    <w:rsid w:val="624A590A"/>
    <w:rsid w:val="624C78D4"/>
    <w:rsid w:val="624D0F56"/>
    <w:rsid w:val="624D53FA"/>
    <w:rsid w:val="62500A46"/>
    <w:rsid w:val="62503787"/>
    <w:rsid w:val="6252656D"/>
    <w:rsid w:val="62533923"/>
    <w:rsid w:val="625451B5"/>
    <w:rsid w:val="62570027"/>
    <w:rsid w:val="62586279"/>
    <w:rsid w:val="62593D9F"/>
    <w:rsid w:val="625B18C5"/>
    <w:rsid w:val="625C563D"/>
    <w:rsid w:val="625C5983"/>
    <w:rsid w:val="625C73EB"/>
    <w:rsid w:val="625E13B5"/>
    <w:rsid w:val="625E3163"/>
    <w:rsid w:val="62612D73"/>
    <w:rsid w:val="626369CC"/>
    <w:rsid w:val="626562A0"/>
    <w:rsid w:val="62685D90"/>
    <w:rsid w:val="626C3AD2"/>
    <w:rsid w:val="626C3ADE"/>
    <w:rsid w:val="626C70F7"/>
    <w:rsid w:val="626D784A"/>
    <w:rsid w:val="626F711E"/>
    <w:rsid w:val="627110E9"/>
    <w:rsid w:val="627209BD"/>
    <w:rsid w:val="62740BD9"/>
    <w:rsid w:val="627961EF"/>
    <w:rsid w:val="62797F9D"/>
    <w:rsid w:val="627D7A8D"/>
    <w:rsid w:val="627E55B4"/>
    <w:rsid w:val="627F30DF"/>
    <w:rsid w:val="628030DA"/>
    <w:rsid w:val="6280757E"/>
    <w:rsid w:val="62811DE4"/>
    <w:rsid w:val="628132A8"/>
    <w:rsid w:val="62816E52"/>
    <w:rsid w:val="62832BCA"/>
    <w:rsid w:val="628415EA"/>
    <w:rsid w:val="6286607D"/>
    <w:rsid w:val="628801E0"/>
    <w:rsid w:val="62885CDB"/>
    <w:rsid w:val="628C1A7E"/>
    <w:rsid w:val="628C5A67"/>
    <w:rsid w:val="628D3A49"/>
    <w:rsid w:val="628D57F7"/>
    <w:rsid w:val="629372B1"/>
    <w:rsid w:val="62967221"/>
    <w:rsid w:val="629A2B7E"/>
    <w:rsid w:val="629C012D"/>
    <w:rsid w:val="629E5C56"/>
    <w:rsid w:val="62A0552A"/>
    <w:rsid w:val="62A56FE4"/>
    <w:rsid w:val="62A72D5C"/>
    <w:rsid w:val="62A80882"/>
    <w:rsid w:val="62A96AD4"/>
    <w:rsid w:val="62B31701"/>
    <w:rsid w:val="62B611F1"/>
    <w:rsid w:val="62B62F9F"/>
    <w:rsid w:val="62B64D4D"/>
    <w:rsid w:val="62B86D17"/>
    <w:rsid w:val="62B92A90"/>
    <w:rsid w:val="62B9483E"/>
    <w:rsid w:val="62BA2508"/>
    <w:rsid w:val="62BB05B6"/>
    <w:rsid w:val="62BD432E"/>
    <w:rsid w:val="62BE4EA7"/>
    <w:rsid w:val="62BF00A6"/>
    <w:rsid w:val="62C456BC"/>
    <w:rsid w:val="62C51434"/>
    <w:rsid w:val="62C90F25"/>
    <w:rsid w:val="62CC27C3"/>
    <w:rsid w:val="62CD2097"/>
    <w:rsid w:val="62CF10C6"/>
    <w:rsid w:val="62CF7BBD"/>
    <w:rsid w:val="62D13935"/>
    <w:rsid w:val="62D376AD"/>
    <w:rsid w:val="62D60F4C"/>
    <w:rsid w:val="62D64D61"/>
    <w:rsid w:val="62D82F16"/>
    <w:rsid w:val="62DB0C58"/>
    <w:rsid w:val="62DD22DA"/>
    <w:rsid w:val="62DD4049"/>
    <w:rsid w:val="62DD677E"/>
    <w:rsid w:val="62DF1370"/>
    <w:rsid w:val="62DF1606"/>
    <w:rsid w:val="62E0001C"/>
    <w:rsid w:val="62E01DCA"/>
    <w:rsid w:val="62E21FE6"/>
    <w:rsid w:val="62E25B42"/>
    <w:rsid w:val="62E278F0"/>
    <w:rsid w:val="62E53885"/>
    <w:rsid w:val="62E551E2"/>
    <w:rsid w:val="62E573E1"/>
    <w:rsid w:val="62E713AB"/>
    <w:rsid w:val="62E95123"/>
    <w:rsid w:val="62EA49F7"/>
    <w:rsid w:val="62EA6483"/>
    <w:rsid w:val="62EC5DE5"/>
    <w:rsid w:val="62EE79D5"/>
    <w:rsid w:val="62F15D85"/>
    <w:rsid w:val="62F23D84"/>
    <w:rsid w:val="62F31AFE"/>
    <w:rsid w:val="62F37D50"/>
    <w:rsid w:val="62F51D1A"/>
    <w:rsid w:val="62F53AC8"/>
    <w:rsid w:val="62F615EE"/>
    <w:rsid w:val="62F64A26"/>
    <w:rsid w:val="62FA41FD"/>
    <w:rsid w:val="62FB09B2"/>
    <w:rsid w:val="62FE04A2"/>
    <w:rsid w:val="62FF4946"/>
    <w:rsid w:val="630006BE"/>
    <w:rsid w:val="630120EC"/>
    <w:rsid w:val="63016CD4"/>
    <w:rsid w:val="63035AB9"/>
    <w:rsid w:val="63051831"/>
    <w:rsid w:val="63062529"/>
    <w:rsid w:val="630755A9"/>
    <w:rsid w:val="63084640"/>
    <w:rsid w:val="630B32EB"/>
    <w:rsid w:val="630C2BBF"/>
    <w:rsid w:val="630C7063"/>
    <w:rsid w:val="630E06E5"/>
    <w:rsid w:val="630E4B89"/>
    <w:rsid w:val="630E6937"/>
    <w:rsid w:val="631101D6"/>
    <w:rsid w:val="63116428"/>
    <w:rsid w:val="631313CD"/>
    <w:rsid w:val="631657EC"/>
    <w:rsid w:val="631A1780"/>
    <w:rsid w:val="631D27A2"/>
    <w:rsid w:val="631E1E95"/>
    <w:rsid w:val="631F0B45"/>
    <w:rsid w:val="63225AEA"/>
    <w:rsid w:val="63237E7F"/>
    <w:rsid w:val="632443AD"/>
    <w:rsid w:val="63250F34"/>
    <w:rsid w:val="63251ED3"/>
    <w:rsid w:val="63253C81"/>
    <w:rsid w:val="632717A7"/>
    <w:rsid w:val="63274F95"/>
    <w:rsid w:val="63296040"/>
    <w:rsid w:val="632B573B"/>
    <w:rsid w:val="632C3261"/>
    <w:rsid w:val="632C5010"/>
    <w:rsid w:val="632F68AE"/>
    <w:rsid w:val="63316ACA"/>
    <w:rsid w:val="63332842"/>
    <w:rsid w:val="63350368"/>
    <w:rsid w:val="63352116"/>
    <w:rsid w:val="63367C3C"/>
    <w:rsid w:val="633D02FC"/>
    <w:rsid w:val="633F2F95"/>
    <w:rsid w:val="63424514"/>
    <w:rsid w:val="634405AB"/>
    <w:rsid w:val="634560D1"/>
    <w:rsid w:val="63473BF7"/>
    <w:rsid w:val="634A45AF"/>
    <w:rsid w:val="634B193A"/>
    <w:rsid w:val="634D74F9"/>
    <w:rsid w:val="63500CFE"/>
    <w:rsid w:val="63512CC8"/>
    <w:rsid w:val="63520F1A"/>
    <w:rsid w:val="63525EB8"/>
    <w:rsid w:val="635527B8"/>
    <w:rsid w:val="63556314"/>
    <w:rsid w:val="6356208C"/>
    <w:rsid w:val="63576530"/>
    <w:rsid w:val="63585E05"/>
    <w:rsid w:val="63586960"/>
    <w:rsid w:val="635A7DCF"/>
    <w:rsid w:val="635B58F5"/>
    <w:rsid w:val="635D166D"/>
    <w:rsid w:val="635F53E5"/>
    <w:rsid w:val="6361084A"/>
    <w:rsid w:val="63612F0B"/>
    <w:rsid w:val="63620A31"/>
    <w:rsid w:val="636429FB"/>
    <w:rsid w:val="636522D0"/>
    <w:rsid w:val="636831B2"/>
    <w:rsid w:val="63690012"/>
    <w:rsid w:val="636A1027"/>
    <w:rsid w:val="636C18B0"/>
    <w:rsid w:val="636D310E"/>
    <w:rsid w:val="637003C1"/>
    <w:rsid w:val="637013A0"/>
    <w:rsid w:val="637075F2"/>
    <w:rsid w:val="63715118"/>
    <w:rsid w:val="6372336A"/>
    <w:rsid w:val="63732C3E"/>
    <w:rsid w:val="63750765"/>
    <w:rsid w:val="63754C08"/>
    <w:rsid w:val="637569B7"/>
    <w:rsid w:val="637846F9"/>
    <w:rsid w:val="637864A7"/>
    <w:rsid w:val="637A3FCD"/>
    <w:rsid w:val="637F15E3"/>
    <w:rsid w:val="637F3AF5"/>
    <w:rsid w:val="637F5A87"/>
    <w:rsid w:val="63822E81"/>
    <w:rsid w:val="63836843"/>
    <w:rsid w:val="63844E4C"/>
    <w:rsid w:val="63860BC4"/>
    <w:rsid w:val="638669E4"/>
    <w:rsid w:val="638E267F"/>
    <w:rsid w:val="639037F0"/>
    <w:rsid w:val="639257BA"/>
    <w:rsid w:val="63972DD1"/>
    <w:rsid w:val="63984453"/>
    <w:rsid w:val="639C27A7"/>
    <w:rsid w:val="639D7CBB"/>
    <w:rsid w:val="639F1C85"/>
    <w:rsid w:val="639F79E7"/>
    <w:rsid w:val="63A63014"/>
    <w:rsid w:val="63A86D8C"/>
    <w:rsid w:val="63A921DA"/>
    <w:rsid w:val="63AD6150"/>
    <w:rsid w:val="63AE1EC8"/>
    <w:rsid w:val="63AE3C76"/>
    <w:rsid w:val="63AE604C"/>
    <w:rsid w:val="63B05C41"/>
    <w:rsid w:val="63B3128D"/>
    <w:rsid w:val="63B472ED"/>
    <w:rsid w:val="63B47C16"/>
    <w:rsid w:val="63B73772"/>
    <w:rsid w:val="63B868A3"/>
    <w:rsid w:val="63BD1701"/>
    <w:rsid w:val="63BF5E84"/>
    <w:rsid w:val="63C35974"/>
    <w:rsid w:val="63C60FC0"/>
    <w:rsid w:val="63C82F8A"/>
    <w:rsid w:val="63C96D02"/>
    <w:rsid w:val="63CB2A7A"/>
    <w:rsid w:val="63CB4828"/>
    <w:rsid w:val="63CB65D6"/>
    <w:rsid w:val="63CE60C7"/>
    <w:rsid w:val="63CF256B"/>
    <w:rsid w:val="63D00091"/>
    <w:rsid w:val="63D336DD"/>
    <w:rsid w:val="63D47B81"/>
    <w:rsid w:val="63D57455"/>
    <w:rsid w:val="63D7141F"/>
    <w:rsid w:val="63D7745D"/>
    <w:rsid w:val="63D95197"/>
    <w:rsid w:val="63DA0F0F"/>
    <w:rsid w:val="63DF2082"/>
    <w:rsid w:val="63E1229E"/>
    <w:rsid w:val="63E15DFA"/>
    <w:rsid w:val="63E2236B"/>
    <w:rsid w:val="63E458EA"/>
    <w:rsid w:val="63E678B4"/>
    <w:rsid w:val="63E91153"/>
    <w:rsid w:val="63E92F01"/>
    <w:rsid w:val="63EB0A27"/>
    <w:rsid w:val="63EF496F"/>
    <w:rsid w:val="63F0428F"/>
    <w:rsid w:val="63F0603D"/>
    <w:rsid w:val="63F21E60"/>
    <w:rsid w:val="63F35B2D"/>
    <w:rsid w:val="63F41FD1"/>
    <w:rsid w:val="63F43D7F"/>
    <w:rsid w:val="63F83144"/>
    <w:rsid w:val="63FA0916"/>
    <w:rsid w:val="63FA6EBC"/>
    <w:rsid w:val="63FB1C97"/>
    <w:rsid w:val="63FB2F12"/>
    <w:rsid w:val="63FE69AC"/>
    <w:rsid w:val="63FF0976"/>
    <w:rsid w:val="63FF2724"/>
    <w:rsid w:val="64041AE8"/>
    <w:rsid w:val="64095351"/>
    <w:rsid w:val="640B10C9"/>
    <w:rsid w:val="640E7EF8"/>
    <w:rsid w:val="641053E9"/>
    <w:rsid w:val="64112768"/>
    <w:rsid w:val="641206A9"/>
    <w:rsid w:val="64122457"/>
    <w:rsid w:val="64124205"/>
    <w:rsid w:val="641336CD"/>
    <w:rsid w:val="64137F7D"/>
    <w:rsid w:val="64151F2C"/>
    <w:rsid w:val="64151F48"/>
    <w:rsid w:val="64152CCF"/>
    <w:rsid w:val="64153CF6"/>
    <w:rsid w:val="6415668A"/>
    <w:rsid w:val="64191A38"/>
    <w:rsid w:val="6419500B"/>
    <w:rsid w:val="64195594"/>
    <w:rsid w:val="641A130C"/>
    <w:rsid w:val="641B55C8"/>
    <w:rsid w:val="641C32D6"/>
    <w:rsid w:val="641C6E10"/>
    <w:rsid w:val="641F6922"/>
    <w:rsid w:val="64202DC6"/>
    <w:rsid w:val="64207A48"/>
    <w:rsid w:val="64216B3E"/>
    <w:rsid w:val="642301C1"/>
    <w:rsid w:val="6424211E"/>
    <w:rsid w:val="64267CB1"/>
    <w:rsid w:val="64283A29"/>
    <w:rsid w:val="642A59F3"/>
    <w:rsid w:val="642A77A1"/>
    <w:rsid w:val="642B3519"/>
    <w:rsid w:val="642B6B50"/>
    <w:rsid w:val="642D103F"/>
    <w:rsid w:val="642E372B"/>
    <w:rsid w:val="642E5DA1"/>
    <w:rsid w:val="642F2FDE"/>
    <w:rsid w:val="64357EF4"/>
    <w:rsid w:val="643979E4"/>
    <w:rsid w:val="643A5574"/>
    <w:rsid w:val="643B7C00"/>
    <w:rsid w:val="643C1282"/>
    <w:rsid w:val="643C5726"/>
    <w:rsid w:val="643E324C"/>
    <w:rsid w:val="643E4FFA"/>
    <w:rsid w:val="64412D3D"/>
    <w:rsid w:val="64426DE8"/>
    <w:rsid w:val="64487070"/>
    <w:rsid w:val="64487C27"/>
    <w:rsid w:val="6449399F"/>
    <w:rsid w:val="644A4C56"/>
    <w:rsid w:val="64511325"/>
    <w:rsid w:val="64520AA6"/>
    <w:rsid w:val="64540CC2"/>
    <w:rsid w:val="64552344"/>
    <w:rsid w:val="64572560"/>
    <w:rsid w:val="64587C66"/>
    <w:rsid w:val="64591E34"/>
    <w:rsid w:val="645A5BAC"/>
    <w:rsid w:val="645C1924"/>
    <w:rsid w:val="645E38EF"/>
    <w:rsid w:val="645E569D"/>
    <w:rsid w:val="6461518D"/>
    <w:rsid w:val="646507D9"/>
    <w:rsid w:val="64652C34"/>
    <w:rsid w:val="64654C7D"/>
    <w:rsid w:val="64656A2B"/>
    <w:rsid w:val="64680734"/>
    <w:rsid w:val="64680AA0"/>
    <w:rsid w:val="6468132B"/>
    <w:rsid w:val="646A5DEF"/>
    <w:rsid w:val="646B1B68"/>
    <w:rsid w:val="646D3B32"/>
    <w:rsid w:val="646F6DF8"/>
    <w:rsid w:val="646F78AA"/>
    <w:rsid w:val="64711BB5"/>
    <w:rsid w:val="647153D0"/>
    <w:rsid w:val="64722EF6"/>
    <w:rsid w:val="6472739A"/>
    <w:rsid w:val="6477050C"/>
    <w:rsid w:val="64790728"/>
    <w:rsid w:val="64794284"/>
    <w:rsid w:val="647A1DAB"/>
    <w:rsid w:val="64805613"/>
    <w:rsid w:val="64836EB1"/>
    <w:rsid w:val="648570CD"/>
    <w:rsid w:val="6488096B"/>
    <w:rsid w:val="64882719"/>
    <w:rsid w:val="648D1ADE"/>
    <w:rsid w:val="648F1CFA"/>
    <w:rsid w:val="648F65A8"/>
    <w:rsid w:val="64917820"/>
    <w:rsid w:val="649410BE"/>
    <w:rsid w:val="64942E6C"/>
    <w:rsid w:val="64992B79"/>
    <w:rsid w:val="649B1874"/>
    <w:rsid w:val="649B244D"/>
    <w:rsid w:val="649B41FB"/>
    <w:rsid w:val="649C7F73"/>
    <w:rsid w:val="649E018F"/>
    <w:rsid w:val="64A2285E"/>
    <w:rsid w:val="64A357A5"/>
    <w:rsid w:val="64A5151D"/>
    <w:rsid w:val="64A55079"/>
    <w:rsid w:val="64A70DF2"/>
    <w:rsid w:val="64A82DBC"/>
    <w:rsid w:val="64AA4ED7"/>
    <w:rsid w:val="64AC465A"/>
    <w:rsid w:val="64AD03D2"/>
    <w:rsid w:val="64B27796"/>
    <w:rsid w:val="64B452BD"/>
    <w:rsid w:val="64B61035"/>
    <w:rsid w:val="64B81251"/>
    <w:rsid w:val="64B8434A"/>
    <w:rsid w:val="64B96D77"/>
    <w:rsid w:val="64BE438D"/>
    <w:rsid w:val="64BE613B"/>
    <w:rsid w:val="64C01EB3"/>
    <w:rsid w:val="64C33752"/>
    <w:rsid w:val="64C73242"/>
    <w:rsid w:val="64CA2D32"/>
    <w:rsid w:val="64CC2606"/>
    <w:rsid w:val="64CE1ADF"/>
    <w:rsid w:val="64CF20F6"/>
    <w:rsid w:val="64D12312"/>
    <w:rsid w:val="64D63485"/>
    <w:rsid w:val="64D67929"/>
    <w:rsid w:val="64D81563"/>
    <w:rsid w:val="64D81A9A"/>
    <w:rsid w:val="64D836A1"/>
    <w:rsid w:val="64D84AEE"/>
    <w:rsid w:val="64D92F75"/>
    <w:rsid w:val="64D94D23"/>
    <w:rsid w:val="64DB4F3F"/>
    <w:rsid w:val="64DD55CE"/>
    <w:rsid w:val="64DE2339"/>
    <w:rsid w:val="64DF4A2F"/>
    <w:rsid w:val="64E04304"/>
    <w:rsid w:val="64E21E2A"/>
    <w:rsid w:val="64E35BA2"/>
    <w:rsid w:val="64E42046"/>
    <w:rsid w:val="64E5191A"/>
    <w:rsid w:val="64E75692"/>
    <w:rsid w:val="64E77440"/>
    <w:rsid w:val="64E9731B"/>
    <w:rsid w:val="64EA33D4"/>
    <w:rsid w:val="64ED46CA"/>
    <w:rsid w:val="64ED73BA"/>
    <w:rsid w:val="64EF4547"/>
    <w:rsid w:val="64F14763"/>
    <w:rsid w:val="64F47DAF"/>
    <w:rsid w:val="64F61D79"/>
    <w:rsid w:val="64F67403"/>
    <w:rsid w:val="64F8789F"/>
    <w:rsid w:val="64F953C5"/>
    <w:rsid w:val="64FB113D"/>
    <w:rsid w:val="650049A6"/>
    <w:rsid w:val="6502071E"/>
    <w:rsid w:val="6502427A"/>
    <w:rsid w:val="6502545F"/>
    <w:rsid w:val="650520CD"/>
    <w:rsid w:val="65052950"/>
    <w:rsid w:val="65063DE0"/>
    <w:rsid w:val="65085608"/>
    <w:rsid w:val="65091AAC"/>
    <w:rsid w:val="6509385A"/>
    <w:rsid w:val="650D2C1F"/>
    <w:rsid w:val="650E3A02"/>
    <w:rsid w:val="65102E3B"/>
    <w:rsid w:val="651144BD"/>
    <w:rsid w:val="651421FF"/>
    <w:rsid w:val="651638D5"/>
    <w:rsid w:val="65165F77"/>
    <w:rsid w:val="65167D25"/>
    <w:rsid w:val="651915C4"/>
    <w:rsid w:val="651A5A67"/>
    <w:rsid w:val="651B17E0"/>
    <w:rsid w:val="651B358E"/>
    <w:rsid w:val="651E34F7"/>
    <w:rsid w:val="651E4C38"/>
    <w:rsid w:val="65200BA4"/>
    <w:rsid w:val="6520701D"/>
    <w:rsid w:val="6525440C"/>
    <w:rsid w:val="652561BA"/>
    <w:rsid w:val="65270184"/>
    <w:rsid w:val="65297A59"/>
    <w:rsid w:val="652A557F"/>
    <w:rsid w:val="652C12F7"/>
    <w:rsid w:val="652C7549"/>
    <w:rsid w:val="652E1513"/>
    <w:rsid w:val="6533428D"/>
    <w:rsid w:val="65336B29"/>
    <w:rsid w:val="65363F24"/>
    <w:rsid w:val="65386C6F"/>
    <w:rsid w:val="653D3504"/>
    <w:rsid w:val="653D7F10"/>
    <w:rsid w:val="653F54CE"/>
    <w:rsid w:val="65402FF4"/>
    <w:rsid w:val="65420B1A"/>
    <w:rsid w:val="65424FBE"/>
    <w:rsid w:val="65447901"/>
    <w:rsid w:val="6545060B"/>
    <w:rsid w:val="654523B9"/>
    <w:rsid w:val="65467FC8"/>
    <w:rsid w:val="6549634D"/>
    <w:rsid w:val="65497BF4"/>
    <w:rsid w:val="654A27C5"/>
    <w:rsid w:val="654A5952"/>
    <w:rsid w:val="654A5C21"/>
    <w:rsid w:val="654B66B5"/>
    <w:rsid w:val="654C3747"/>
    <w:rsid w:val="65515201"/>
    <w:rsid w:val="65515529"/>
    <w:rsid w:val="65556AA0"/>
    <w:rsid w:val="655645C6"/>
    <w:rsid w:val="65586590"/>
    <w:rsid w:val="65591B4C"/>
    <w:rsid w:val="655A39B5"/>
    <w:rsid w:val="655B1BDC"/>
    <w:rsid w:val="655B7E2E"/>
    <w:rsid w:val="655D7702"/>
    <w:rsid w:val="655F16CC"/>
    <w:rsid w:val="655F347A"/>
    <w:rsid w:val="65606279"/>
    <w:rsid w:val="656071F2"/>
    <w:rsid w:val="65613696"/>
    <w:rsid w:val="65652A5B"/>
    <w:rsid w:val="65670581"/>
    <w:rsid w:val="656767D3"/>
    <w:rsid w:val="65685D4E"/>
    <w:rsid w:val="656A1E1F"/>
    <w:rsid w:val="656E190F"/>
    <w:rsid w:val="656E7BE6"/>
    <w:rsid w:val="657047D8"/>
    <w:rsid w:val="65705687"/>
    <w:rsid w:val="65717652"/>
    <w:rsid w:val="65735178"/>
    <w:rsid w:val="657449B3"/>
    <w:rsid w:val="65750EF0"/>
    <w:rsid w:val="657607C4"/>
    <w:rsid w:val="65764C68"/>
    <w:rsid w:val="65766A16"/>
    <w:rsid w:val="65766C11"/>
    <w:rsid w:val="6578278E"/>
    <w:rsid w:val="657D1B52"/>
    <w:rsid w:val="657E7F74"/>
    <w:rsid w:val="65815AE7"/>
    <w:rsid w:val="6582360D"/>
    <w:rsid w:val="65847385"/>
    <w:rsid w:val="65864EAB"/>
    <w:rsid w:val="658729D1"/>
    <w:rsid w:val="65876E75"/>
    <w:rsid w:val="658B7132"/>
    <w:rsid w:val="658C6239"/>
    <w:rsid w:val="658D71C3"/>
    <w:rsid w:val="658E1FB1"/>
    <w:rsid w:val="65905D2A"/>
    <w:rsid w:val="659163EA"/>
    <w:rsid w:val="659550EE"/>
    <w:rsid w:val="65956E9C"/>
    <w:rsid w:val="659737D4"/>
    <w:rsid w:val="659832B3"/>
    <w:rsid w:val="65984BDE"/>
    <w:rsid w:val="6598698C"/>
    <w:rsid w:val="659A0956"/>
    <w:rsid w:val="659A2704"/>
    <w:rsid w:val="659B647C"/>
    <w:rsid w:val="659D0447"/>
    <w:rsid w:val="659F7D1B"/>
    <w:rsid w:val="65A05841"/>
    <w:rsid w:val="65A2780B"/>
    <w:rsid w:val="65A45331"/>
    <w:rsid w:val="65A6556F"/>
    <w:rsid w:val="65A750DC"/>
    <w:rsid w:val="65A90B99"/>
    <w:rsid w:val="65AB2B63"/>
    <w:rsid w:val="65AB5D20"/>
    <w:rsid w:val="65AC068A"/>
    <w:rsid w:val="65AD68DC"/>
    <w:rsid w:val="65AF4B51"/>
    <w:rsid w:val="65B23EF2"/>
    <w:rsid w:val="65B25CA0"/>
    <w:rsid w:val="65B65064"/>
    <w:rsid w:val="65B67155"/>
    <w:rsid w:val="65B732B6"/>
    <w:rsid w:val="65B8702E"/>
    <w:rsid w:val="65B975F2"/>
    <w:rsid w:val="65BA6903"/>
    <w:rsid w:val="65BC08CD"/>
    <w:rsid w:val="65C07C91"/>
    <w:rsid w:val="65C15EE3"/>
    <w:rsid w:val="65C23A09"/>
    <w:rsid w:val="65C634F9"/>
    <w:rsid w:val="65C63B99"/>
    <w:rsid w:val="65CB6D62"/>
    <w:rsid w:val="65CC6636"/>
    <w:rsid w:val="65CE23AE"/>
    <w:rsid w:val="65CE6852"/>
    <w:rsid w:val="65D025CA"/>
    <w:rsid w:val="65D2271B"/>
    <w:rsid w:val="65D24D0D"/>
    <w:rsid w:val="65D26342"/>
    <w:rsid w:val="65D335CC"/>
    <w:rsid w:val="65D35C16"/>
    <w:rsid w:val="65D3619D"/>
    <w:rsid w:val="65D5580B"/>
    <w:rsid w:val="65D65C50"/>
    <w:rsid w:val="65D73958"/>
    <w:rsid w:val="65D774B5"/>
    <w:rsid w:val="65D8322D"/>
    <w:rsid w:val="65DC2D1D"/>
    <w:rsid w:val="65DD6A95"/>
    <w:rsid w:val="65DE32B0"/>
    <w:rsid w:val="65DF280D"/>
    <w:rsid w:val="65E46075"/>
    <w:rsid w:val="65E63B9C"/>
    <w:rsid w:val="65E676F8"/>
    <w:rsid w:val="65E73470"/>
    <w:rsid w:val="65E91B04"/>
    <w:rsid w:val="65E9368C"/>
    <w:rsid w:val="65EB11B2"/>
    <w:rsid w:val="65ED136A"/>
    <w:rsid w:val="65ED4F2A"/>
    <w:rsid w:val="65EF127F"/>
    <w:rsid w:val="65EF1435"/>
    <w:rsid w:val="65F06E06"/>
    <w:rsid w:val="65F10296"/>
    <w:rsid w:val="65F51C0C"/>
    <w:rsid w:val="65F52031"/>
    <w:rsid w:val="65F53318"/>
    <w:rsid w:val="65F53DDF"/>
    <w:rsid w:val="65F81FBD"/>
    <w:rsid w:val="65F97EB8"/>
    <w:rsid w:val="65FA7647"/>
    <w:rsid w:val="65FD6839"/>
    <w:rsid w:val="66001F65"/>
    <w:rsid w:val="66003476"/>
    <w:rsid w:val="66014531"/>
    <w:rsid w:val="660404C6"/>
    <w:rsid w:val="66061B48"/>
    <w:rsid w:val="66065FEC"/>
    <w:rsid w:val="66081D64"/>
    <w:rsid w:val="6609788A"/>
    <w:rsid w:val="660A5ADC"/>
    <w:rsid w:val="660B3602"/>
    <w:rsid w:val="660B53B0"/>
    <w:rsid w:val="660B715E"/>
    <w:rsid w:val="660D1128"/>
    <w:rsid w:val="660F30F2"/>
    <w:rsid w:val="66100C18"/>
    <w:rsid w:val="66134265"/>
    <w:rsid w:val="66140709"/>
    <w:rsid w:val="66141B92"/>
    <w:rsid w:val="66157FDD"/>
    <w:rsid w:val="66171FA7"/>
    <w:rsid w:val="66173D55"/>
    <w:rsid w:val="66195D1F"/>
    <w:rsid w:val="661C3252"/>
    <w:rsid w:val="661C580F"/>
    <w:rsid w:val="661C75BD"/>
    <w:rsid w:val="661D6EE5"/>
    <w:rsid w:val="66212E26"/>
    <w:rsid w:val="66216982"/>
    <w:rsid w:val="66222D83"/>
    <w:rsid w:val="6623094C"/>
    <w:rsid w:val="662841B4"/>
    <w:rsid w:val="66287D10"/>
    <w:rsid w:val="66291A75"/>
    <w:rsid w:val="66297274"/>
    <w:rsid w:val="662A7F2C"/>
    <w:rsid w:val="662B6B28"/>
    <w:rsid w:val="662D0C77"/>
    <w:rsid w:val="662E109F"/>
    <w:rsid w:val="66303069"/>
    <w:rsid w:val="66325478"/>
    <w:rsid w:val="66342B59"/>
    <w:rsid w:val="6635067F"/>
    <w:rsid w:val="66363988"/>
    <w:rsid w:val="663743F7"/>
    <w:rsid w:val="66377F53"/>
    <w:rsid w:val="66384A6E"/>
    <w:rsid w:val="663A3EE7"/>
    <w:rsid w:val="663A5C95"/>
    <w:rsid w:val="663E0BF4"/>
    <w:rsid w:val="663E7534"/>
    <w:rsid w:val="66415276"/>
    <w:rsid w:val="66433CD3"/>
    <w:rsid w:val="66442670"/>
    <w:rsid w:val="664664BF"/>
    <w:rsid w:val="66482160"/>
    <w:rsid w:val="664B39FF"/>
    <w:rsid w:val="664D76BA"/>
    <w:rsid w:val="66501015"/>
    <w:rsid w:val="66521231"/>
    <w:rsid w:val="66524D8D"/>
    <w:rsid w:val="665723A3"/>
    <w:rsid w:val="66576847"/>
    <w:rsid w:val="665C20B0"/>
    <w:rsid w:val="665C23CF"/>
    <w:rsid w:val="665E7BD6"/>
    <w:rsid w:val="665F74AA"/>
    <w:rsid w:val="6663343E"/>
    <w:rsid w:val="66636F9A"/>
    <w:rsid w:val="666437C4"/>
    <w:rsid w:val="66660838"/>
    <w:rsid w:val="66661AB5"/>
    <w:rsid w:val="66664368"/>
    <w:rsid w:val="66676D2D"/>
    <w:rsid w:val="666A657B"/>
    <w:rsid w:val="666B22F3"/>
    <w:rsid w:val="666F3B91"/>
    <w:rsid w:val="66703465"/>
    <w:rsid w:val="66705C12"/>
    <w:rsid w:val="66723681"/>
    <w:rsid w:val="667440DC"/>
    <w:rsid w:val="667747F4"/>
    <w:rsid w:val="6678690F"/>
    <w:rsid w:val="667967BE"/>
    <w:rsid w:val="667B0788"/>
    <w:rsid w:val="667E51BF"/>
    <w:rsid w:val="667E5B82"/>
    <w:rsid w:val="66803B38"/>
    <w:rsid w:val="66807B4C"/>
    <w:rsid w:val="668606D7"/>
    <w:rsid w:val="66860EDB"/>
    <w:rsid w:val="66884C53"/>
    <w:rsid w:val="668A09CB"/>
    <w:rsid w:val="668A2779"/>
    <w:rsid w:val="668B029F"/>
    <w:rsid w:val="668C4743"/>
    <w:rsid w:val="668D04BB"/>
    <w:rsid w:val="668D20E3"/>
    <w:rsid w:val="668D2269"/>
    <w:rsid w:val="668D42E9"/>
    <w:rsid w:val="668F1B3D"/>
    <w:rsid w:val="668F7D8F"/>
    <w:rsid w:val="669453A6"/>
    <w:rsid w:val="6695125A"/>
    <w:rsid w:val="669730E8"/>
    <w:rsid w:val="66990C0E"/>
    <w:rsid w:val="66996E60"/>
    <w:rsid w:val="669A3257"/>
    <w:rsid w:val="669B2164"/>
    <w:rsid w:val="669C24AC"/>
    <w:rsid w:val="669E6224"/>
    <w:rsid w:val="669F783C"/>
    <w:rsid w:val="66A0319D"/>
    <w:rsid w:val="66A15D14"/>
    <w:rsid w:val="66A6332B"/>
    <w:rsid w:val="66A7157D"/>
    <w:rsid w:val="66A80E51"/>
    <w:rsid w:val="66A870A3"/>
    <w:rsid w:val="66AA2E1B"/>
    <w:rsid w:val="66AB0941"/>
    <w:rsid w:val="66AF21DF"/>
    <w:rsid w:val="66B141AA"/>
    <w:rsid w:val="66B3122D"/>
    <w:rsid w:val="66B5531C"/>
    <w:rsid w:val="66B94E0C"/>
    <w:rsid w:val="66B9509F"/>
    <w:rsid w:val="66BC2B4E"/>
    <w:rsid w:val="66C043ED"/>
    <w:rsid w:val="66C20165"/>
    <w:rsid w:val="66C27892"/>
    <w:rsid w:val="66C30D22"/>
    <w:rsid w:val="66C33EDD"/>
    <w:rsid w:val="66C44CB6"/>
    <w:rsid w:val="66C7577B"/>
    <w:rsid w:val="66C8504F"/>
    <w:rsid w:val="66CA36E1"/>
    <w:rsid w:val="66CB2085"/>
    <w:rsid w:val="66CD0775"/>
    <w:rsid w:val="66CD08B8"/>
    <w:rsid w:val="66CF4630"/>
    <w:rsid w:val="66D734E4"/>
    <w:rsid w:val="66D93700"/>
    <w:rsid w:val="66DB2FD4"/>
    <w:rsid w:val="66DB4D83"/>
    <w:rsid w:val="66DE0D17"/>
    <w:rsid w:val="66E0683D"/>
    <w:rsid w:val="66E225B5"/>
    <w:rsid w:val="66E3632D"/>
    <w:rsid w:val="66E612EE"/>
    <w:rsid w:val="66E71979"/>
    <w:rsid w:val="66E83943"/>
    <w:rsid w:val="66E83ACB"/>
    <w:rsid w:val="66EA1469"/>
    <w:rsid w:val="66EC0C69"/>
    <w:rsid w:val="66EC3434"/>
    <w:rsid w:val="66ED59C1"/>
    <w:rsid w:val="66EF5A68"/>
    <w:rsid w:val="66F26570"/>
    <w:rsid w:val="66F347C2"/>
    <w:rsid w:val="66F75934"/>
    <w:rsid w:val="66F916AD"/>
    <w:rsid w:val="66F9736F"/>
    <w:rsid w:val="66FD73EF"/>
    <w:rsid w:val="66FE2631"/>
    <w:rsid w:val="66FE4F15"/>
    <w:rsid w:val="67002A3B"/>
    <w:rsid w:val="670267B3"/>
    <w:rsid w:val="6703252B"/>
    <w:rsid w:val="670342D9"/>
    <w:rsid w:val="67050051"/>
    <w:rsid w:val="67075FC6"/>
    <w:rsid w:val="670A1B0C"/>
    <w:rsid w:val="670A38BA"/>
    <w:rsid w:val="670C7632"/>
    <w:rsid w:val="670D6C1F"/>
    <w:rsid w:val="670D6F06"/>
    <w:rsid w:val="6712481A"/>
    <w:rsid w:val="67127086"/>
    <w:rsid w:val="671309C0"/>
    <w:rsid w:val="67144738"/>
    <w:rsid w:val="67191B1C"/>
    <w:rsid w:val="67191D4F"/>
    <w:rsid w:val="67193AFD"/>
    <w:rsid w:val="671B5AC7"/>
    <w:rsid w:val="671D183F"/>
    <w:rsid w:val="671D35ED"/>
    <w:rsid w:val="671E7365"/>
    <w:rsid w:val="671F424D"/>
    <w:rsid w:val="671F55B7"/>
    <w:rsid w:val="67242BB4"/>
    <w:rsid w:val="672636AE"/>
    <w:rsid w:val="672755B0"/>
    <w:rsid w:val="672A1DD8"/>
    <w:rsid w:val="672C1A82"/>
    <w:rsid w:val="672C3830"/>
    <w:rsid w:val="672D0E56"/>
    <w:rsid w:val="672D1356"/>
    <w:rsid w:val="672E57FA"/>
    <w:rsid w:val="672F3320"/>
    <w:rsid w:val="673051D2"/>
    <w:rsid w:val="67310E46"/>
    <w:rsid w:val="67362901"/>
    <w:rsid w:val="6736645D"/>
    <w:rsid w:val="673D343E"/>
    <w:rsid w:val="673D3C8F"/>
    <w:rsid w:val="673F17B5"/>
    <w:rsid w:val="67423054"/>
    <w:rsid w:val="67437403"/>
    <w:rsid w:val="674476A9"/>
    <w:rsid w:val="67485393"/>
    <w:rsid w:val="67492634"/>
    <w:rsid w:val="674A015A"/>
    <w:rsid w:val="674C3CF0"/>
    <w:rsid w:val="674C5C80"/>
    <w:rsid w:val="674D37A6"/>
    <w:rsid w:val="674E075B"/>
    <w:rsid w:val="675039C2"/>
    <w:rsid w:val="67523C88"/>
    <w:rsid w:val="67535261"/>
    <w:rsid w:val="67550FD9"/>
    <w:rsid w:val="67566AFF"/>
    <w:rsid w:val="67580AC9"/>
    <w:rsid w:val="675B5EC3"/>
    <w:rsid w:val="675D1C3B"/>
    <w:rsid w:val="6760784A"/>
    <w:rsid w:val="67627252"/>
    <w:rsid w:val="6764746E"/>
    <w:rsid w:val="67650123"/>
    <w:rsid w:val="676502F9"/>
    <w:rsid w:val="67654F94"/>
    <w:rsid w:val="67656598"/>
    <w:rsid w:val="67656D42"/>
    <w:rsid w:val="676841BB"/>
    <w:rsid w:val="67694A84"/>
    <w:rsid w:val="67696832"/>
    <w:rsid w:val="67696AE0"/>
    <w:rsid w:val="676A4358"/>
    <w:rsid w:val="676D68B5"/>
    <w:rsid w:val="676E209B"/>
    <w:rsid w:val="676F196F"/>
    <w:rsid w:val="676F5DA7"/>
    <w:rsid w:val="67705E13"/>
    <w:rsid w:val="677156E7"/>
    <w:rsid w:val="67730FE6"/>
    <w:rsid w:val="67780823"/>
    <w:rsid w:val="67786A75"/>
    <w:rsid w:val="677A27ED"/>
    <w:rsid w:val="677B47B7"/>
    <w:rsid w:val="677D22DE"/>
    <w:rsid w:val="677D5E3A"/>
    <w:rsid w:val="677E1BB2"/>
    <w:rsid w:val="677E2CDE"/>
    <w:rsid w:val="67801DCE"/>
    <w:rsid w:val="6780592A"/>
    <w:rsid w:val="67816AD2"/>
    <w:rsid w:val="67825B46"/>
    <w:rsid w:val="678371C8"/>
    <w:rsid w:val="6787202D"/>
    <w:rsid w:val="6788395D"/>
    <w:rsid w:val="67890C82"/>
    <w:rsid w:val="678B1E3E"/>
    <w:rsid w:val="678B49FB"/>
    <w:rsid w:val="678C2521"/>
    <w:rsid w:val="678C32CE"/>
    <w:rsid w:val="678C42CF"/>
    <w:rsid w:val="678E6299"/>
    <w:rsid w:val="67917B37"/>
    <w:rsid w:val="6793565D"/>
    <w:rsid w:val="679413D5"/>
    <w:rsid w:val="67944D0A"/>
    <w:rsid w:val="67957627"/>
    <w:rsid w:val="6796339F"/>
    <w:rsid w:val="6796514D"/>
    <w:rsid w:val="67965B4A"/>
    <w:rsid w:val="67966EFB"/>
    <w:rsid w:val="67992D01"/>
    <w:rsid w:val="679A01CE"/>
    <w:rsid w:val="679B09B6"/>
    <w:rsid w:val="679B2764"/>
    <w:rsid w:val="679C6C08"/>
    <w:rsid w:val="679D4253"/>
    <w:rsid w:val="679D64DC"/>
    <w:rsid w:val="679F04A6"/>
    <w:rsid w:val="679F77CF"/>
    <w:rsid w:val="67A36984"/>
    <w:rsid w:val="67A42549"/>
    <w:rsid w:val="67A55390"/>
    <w:rsid w:val="67A91325"/>
    <w:rsid w:val="67AE51D8"/>
    <w:rsid w:val="67B11F87"/>
    <w:rsid w:val="67B13D35"/>
    <w:rsid w:val="67B57CC9"/>
    <w:rsid w:val="67B95BF1"/>
    <w:rsid w:val="67BA0E3C"/>
    <w:rsid w:val="67BC2E06"/>
    <w:rsid w:val="67BD092C"/>
    <w:rsid w:val="67BE45AB"/>
    <w:rsid w:val="67C1666E"/>
    <w:rsid w:val="67C2339D"/>
    <w:rsid w:val="67C24194"/>
    <w:rsid w:val="67C25F42"/>
    <w:rsid w:val="67C43A69"/>
    <w:rsid w:val="67C728FD"/>
    <w:rsid w:val="67C73559"/>
    <w:rsid w:val="67C779FD"/>
    <w:rsid w:val="67C83634"/>
    <w:rsid w:val="67CA4DF7"/>
    <w:rsid w:val="67CB3049"/>
    <w:rsid w:val="67CC0B6F"/>
    <w:rsid w:val="67CF4511"/>
    <w:rsid w:val="67CF5ED2"/>
    <w:rsid w:val="67D0240D"/>
    <w:rsid w:val="67D068B1"/>
    <w:rsid w:val="67D143D7"/>
    <w:rsid w:val="67D41CE4"/>
    <w:rsid w:val="67D6379C"/>
    <w:rsid w:val="67DA14DE"/>
    <w:rsid w:val="67DA7730"/>
    <w:rsid w:val="67DB285E"/>
    <w:rsid w:val="67DC5256"/>
    <w:rsid w:val="67DD0FCE"/>
    <w:rsid w:val="67DF6BD7"/>
    <w:rsid w:val="67E1461B"/>
    <w:rsid w:val="67E433FF"/>
    <w:rsid w:val="67EE6D37"/>
    <w:rsid w:val="67F325A0"/>
    <w:rsid w:val="67F3434E"/>
    <w:rsid w:val="67F500C6"/>
    <w:rsid w:val="67F56318"/>
    <w:rsid w:val="67F65BEC"/>
    <w:rsid w:val="67F85E08"/>
    <w:rsid w:val="67F862ED"/>
    <w:rsid w:val="67FA56DC"/>
    <w:rsid w:val="67FB3202"/>
    <w:rsid w:val="67FC1454"/>
    <w:rsid w:val="67FD1C48"/>
    <w:rsid w:val="67FF2CF3"/>
    <w:rsid w:val="68000819"/>
    <w:rsid w:val="68014CBD"/>
    <w:rsid w:val="68024591"/>
    <w:rsid w:val="68040309"/>
    <w:rsid w:val="68060525"/>
    <w:rsid w:val="68071BA7"/>
    <w:rsid w:val="68077DF9"/>
    <w:rsid w:val="6808604B"/>
    <w:rsid w:val="68091DC3"/>
    <w:rsid w:val="680931A7"/>
    <w:rsid w:val="680A62EC"/>
    <w:rsid w:val="680B5B3B"/>
    <w:rsid w:val="680D18B3"/>
    <w:rsid w:val="680E73DA"/>
    <w:rsid w:val="681010A3"/>
    <w:rsid w:val="68103152"/>
    <w:rsid w:val="68106CAE"/>
    <w:rsid w:val="68116E94"/>
    <w:rsid w:val="68124D12"/>
    <w:rsid w:val="68152516"/>
    <w:rsid w:val="681621B2"/>
    <w:rsid w:val="6817003C"/>
    <w:rsid w:val="68171A2C"/>
    <w:rsid w:val="681903F3"/>
    <w:rsid w:val="681D13CB"/>
    <w:rsid w:val="681F5143"/>
    <w:rsid w:val="68210EBB"/>
    <w:rsid w:val="68212C69"/>
    <w:rsid w:val="68242759"/>
    <w:rsid w:val="68246BFD"/>
    <w:rsid w:val="6826136B"/>
    <w:rsid w:val="6828218F"/>
    <w:rsid w:val="682B3AE8"/>
    <w:rsid w:val="682C260C"/>
    <w:rsid w:val="682D3D04"/>
    <w:rsid w:val="682D7860"/>
    <w:rsid w:val="682F0F8D"/>
    <w:rsid w:val="6830241D"/>
    <w:rsid w:val="683055A2"/>
    <w:rsid w:val="6833299C"/>
    <w:rsid w:val="68344483"/>
    <w:rsid w:val="683706DE"/>
    <w:rsid w:val="6837248C"/>
    <w:rsid w:val="683A1F7D"/>
    <w:rsid w:val="683A3D2B"/>
    <w:rsid w:val="683C3F47"/>
    <w:rsid w:val="683C5113"/>
    <w:rsid w:val="683C5CF5"/>
    <w:rsid w:val="683C7AA3"/>
    <w:rsid w:val="683E1A6D"/>
    <w:rsid w:val="683E5EB1"/>
    <w:rsid w:val="683F0D66"/>
    <w:rsid w:val="683F57E5"/>
    <w:rsid w:val="6841330B"/>
    <w:rsid w:val="68420E31"/>
    <w:rsid w:val="68466B73"/>
    <w:rsid w:val="68476448"/>
    <w:rsid w:val="684828EC"/>
    <w:rsid w:val="68494705"/>
    <w:rsid w:val="684A6627"/>
    <w:rsid w:val="684F3C7A"/>
    <w:rsid w:val="685017A0"/>
    <w:rsid w:val="68525518"/>
    <w:rsid w:val="685272C6"/>
    <w:rsid w:val="6854080E"/>
    <w:rsid w:val="6855236A"/>
    <w:rsid w:val="68555008"/>
    <w:rsid w:val="68570199"/>
    <w:rsid w:val="68580655"/>
    <w:rsid w:val="68595181"/>
    <w:rsid w:val="685F19E3"/>
    <w:rsid w:val="686314D3"/>
    <w:rsid w:val="6866030D"/>
    <w:rsid w:val="68660FC4"/>
    <w:rsid w:val="6868111E"/>
    <w:rsid w:val="68684D3C"/>
    <w:rsid w:val="686B482C"/>
    <w:rsid w:val="686B65DA"/>
    <w:rsid w:val="686D4869"/>
    <w:rsid w:val="686D76FB"/>
    <w:rsid w:val="686F60CA"/>
    <w:rsid w:val="68715B33"/>
    <w:rsid w:val="68721717"/>
    <w:rsid w:val="687436E1"/>
    <w:rsid w:val="6874526D"/>
    <w:rsid w:val="68750B51"/>
    <w:rsid w:val="68776D2D"/>
    <w:rsid w:val="6878475E"/>
    <w:rsid w:val="687A05CB"/>
    <w:rsid w:val="687C4343"/>
    <w:rsid w:val="687E3344"/>
    <w:rsid w:val="68802085"/>
    <w:rsid w:val="68815DFE"/>
    <w:rsid w:val="68817BAC"/>
    <w:rsid w:val="6884144A"/>
    <w:rsid w:val="688431F8"/>
    <w:rsid w:val="68863414"/>
    <w:rsid w:val="688803EC"/>
    <w:rsid w:val="6888718C"/>
    <w:rsid w:val="688A18E7"/>
    <w:rsid w:val="688A2F04"/>
    <w:rsid w:val="688D19A9"/>
    <w:rsid w:val="68906041"/>
    <w:rsid w:val="689478DF"/>
    <w:rsid w:val="6897117D"/>
    <w:rsid w:val="68975EF6"/>
    <w:rsid w:val="68981B21"/>
    <w:rsid w:val="68991B2C"/>
    <w:rsid w:val="68993147"/>
    <w:rsid w:val="689C49E5"/>
    <w:rsid w:val="689C52CA"/>
    <w:rsid w:val="689C6431"/>
    <w:rsid w:val="689C6793"/>
    <w:rsid w:val="68A044D6"/>
    <w:rsid w:val="68A1024E"/>
    <w:rsid w:val="68A11FFC"/>
    <w:rsid w:val="68A123C1"/>
    <w:rsid w:val="68A65864"/>
    <w:rsid w:val="68A72550"/>
    <w:rsid w:val="68AB3AA2"/>
    <w:rsid w:val="68AD09A1"/>
    <w:rsid w:val="68AE189D"/>
    <w:rsid w:val="68B27D65"/>
    <w:rsid w:val="68B47F81"/>
    <w:rsid w:val="68B57855"/>
    <w:rsid w:val="68B82E7C"/>
    <w:rsid w:val="68B97345"/>
    <w:rsid w:val="68BC4A27"/>
    <w:rsid w:val="68BC6E36"/>
    <w:rsid w:val="68BD30FE"/>
    <w:rsid w:val="68BF2482"/>
    <w:rsid w:val="68C006D4"/>
    <w:rsid w:val="68C04838"/>
    <w:rsid w:val="68C47A98"/>
    <w:rsid w:val="68C53F3C"/>
    <w:rsid w:val="68C74F83"/>
    <w:rsid w:val="68C857DA"/>
    <w:rsid w:val="68CA3301"/>
    <w:rsid w:val="68CA6D7A"/>
    <w:rsid w:val="68CA77A4"/>
    <w:rsid w:val="68CD7EB1"/>
    <w:rsid w:val="68CF0917"/>
    <w:rsid w:val="68D0468F"/>
    <w:rsid w:val="68D0643D"/>
    <w:rsid w:val="68D128E1"/>
    <w:rsid w:val="68D423D1"/>
    <w:rsid w:val="68D4417F"/>
    <w:rsid w:val="68D75168"/>
    <w:rsid w:val="68D777CC"/>
    <w:rsid w:val="68D93544"/>
    <w:rsid w:val="68D9718F"/>
    <w:rsid w:val="68DB550E"/>
    <w:rsid w:val="68DE4FFE"/>
    <w:rsid w:val="68DF6B1A"/>
    <w:rsid w:val="68E026E1"/>
    <w:rsid w:val="68E36491"/>
    <w:rsid w:val="68E42335"/>
    <w:rsid w:val="68E5013A"/>
    <w:rsid w:val="68E51EE8"/>
    <w:rsid w:val="68E5638C"/>
    <w:rsid w:val="68E57D0D"/>
    <w:rsid w:val="68E63EB3"/>
    <w:rsid w:val="68E65C61"/>
    <w:rsid w:val="68E72104"/>
    <w:rsid w:val="68E9209E"/>
    <w:rsid w:val="68EA39A3"/>
    <w:rsid w:val="68ED6FEF"/>
    <w:rsid w:val="68EF720B"/>
    <w:rsid w:val="68F0088D"/>
    <w:rsid w:val="68F13666"/>
    <w:rsid w:val="68F16ADF"/>
    <w:rsid w:val="68F23AF3"/>
    <w:rsid w:val="68F4037D"/>
    <w:rsid w:val="68F55EA4"/>
    <w:rsid w:val="68F640F6"/>
    <w:rsid w:val="68F77E6E"/>
    <w:rsid w:val="68F91E38"/>
    <w:rsid w:val="68F93BE6"/>
    <w:rsid w:val="68FE11FC"/>
    <w:rsid w:val="690031C6"/>
    <w:rsid w:val="69004F74"/>
    <w:rsid w:val="690305C1"/>
    <w:rsid w:val="6905258B"/>
    <w:rsid w:val="69054339"/>
    <w:rsid w:val="690577E1"/>
    <w:rsid w:val="690802CD"/>
    <w:rsid w:val="69083E29"/>
    <w:rsid w:val="69085BD7"/>
    <w:rsid w:val="690B56C7"/>
    <w:rsid w:val="690C3919"/>
    <w:rsid w:val="690D143F"/>
    <w:rsid w:val="690E3869"/>
    <w:rsid w:val="690E58E3"/>
    <w:rsid w:val="690F6F65"/>
    <w:rsid w:val="69110F2F"/>
    <w:rsid w:val="69117181"/>
    <w:rsid w:val="69132EFA"/>
    <w:rsid w:val="69135570"/>
    <w:rsid w:val="69136471"/>
    <w:rsid w:val="69166546"/>
    <w:rsid w:val="691862FC"/>
    <w:rsid w:val="691E189E"/>
    <w:rsid w:val="691E53FA"/>
    <w:rsid w:val="691F0D22"/>
    <w:rsid w:val="69205616"/>
    <w:rsid w:val="69207E48"/>
    <w:rsid w:val="6922313D"/>
    <w:rsid w:val="69223BD5"/>
    <w:rsid w:val="692557E1"/>
    <w:rsid w:val="69256789"/>
    <w:rsid w:val="692769A5"/>
    <w:rsid w:val="69286279"/>
    <w:rsid w:val="69293A97"/>
    <w:rsid w:val="69293DAF"/>
    <w:rsid w:val="69297796"/>
    <w:rsid w:val="692C7B17"/>
    <w:rsid w:val="692E7D33"/>
    <w:rsid w:val="692F2D98"/>
    <w:rsid w:val="692F585A"/>
    <w:rsid w:val="692F61D9"/>
    <w:rsid w:val="693115D2"/>
    <w:rsid w:val="693370F8"/>
    <w:rsid w:val="6934747A"/>
    <w:rsid w:val="69366BE8"/>
    <w:rsid w:val="693710DE"/>
    <w:rsid w:val="69382960"/>
    <w:rsid w:val="6938470E"/>
    <w:rsid w:val="69391E5C"/>
    <w:rsid w:val="693C3AD3"/>
    <w:rsid w:val="693C476F"/>
    <w:rsid w:val="693D709C"/>
    <w:rsid w:val="693E3CEF"/>
    <w:rsid w:val="693E5A9D"/>
    <w:rsid w:val="69407A67"/>
    <w:rsid w:val="694105EE"/>
    <w:rsid w:val="69423360"/>
    <w:rsid w:val="69431305"/>
    <w:rsid w:val="694330B3"/>
    <w:rsid w:val="69454B3C"/>
    <w:rsid w:val="6945507D"/>
    <w:rsid w:val="6945582E"/>
    <w:rsid w:val="69472BA3"/>
    <w:rsid w:val="69482477"/>
    <w:rsid w:val="694841AF"/>
    <w:rsid w:val="694A3FCB"/>
    <w:rsid w:val="694A61EF"/>
    <w:rsid w:val="694C01BA"/>
    <w:rsid w:val="694C1F68"/>
    <w:rsid w:val="694C5701"/>
    <w:rsid w:val="694F1A58"/>
    <w:rsid w:val="6953779A"/>
    <w:rsid w:val="695452C0"/>
    <w:rsid w:val="69547D42"/>
    <w:rsid w:val="69561038"/>
    <w:rsid w:val="69562DE6"/>
    <w:rsid w:val="69564B94"/>
    <w:rsid w:val="6958090C"/>
    <w:rsid w:val="69584DB0"/>
    <w:rsid w:val="69594684"/>
    <w:rsid w:val="695B5B89"/>
    <w:rsid w:val="695B664F"/>
    <w:rsid w:val="695F613F"/>
    <w:rsid w:val="69601EB7"/>
    <w:rsid w:val="69605A13"/>
    <w:rsid w:val="69620B1A"/>
    <w:rsid w:val="69635503"/>
    <w:rsid w:val="696848C8"/>
    <w:rsid w:val="696C7DCD"/>
    <w:rsid w:val="696E6382"/>
    <w:rsid w:val="697119CE"/>
    <w:rsid w:val="69717C20"/>
    <w:rsid w:val="69731BEA"/>
    <w:rsid w:val="69733998"/>
    <w:rsid w:val="69735746"/>
    <w:rsid w:val="6974326C"/>
    <w:rsid w:val="69747710"/>
    <w:rsid w:val="69755D9C"/>
    <w:rsid w:val="6975655B"/>
    <w:rsid w:val="69766FE4"/>
    <w:rsid w:val="6979471D"/>
    <w:rsid w:val="69794D27"/>
    <w:rsid w:val="697B3FD6"/>
    <w:rsid w:val="697D4817"/>
    <w:rsid w:val="697D65C5"/>
    <w:rsid w:val="697F058F"/>
    <w:rsid w:val="69817558"/>
    <w:rsid w:val="69833DCE"/>
    <w:rsid w:val="698369FF"/>
    <w:rsid w:val="698425E0"/>
    <w:rsid w:val="698718B2"/>
    <w:rsid w:val="69872FA0"/>
    <w:rsid w:val="69881641"/>
    <w:rsid w:val="698A0CE2"/>
    <w:rsid w:val="698A2A90"/>
    <w:rsid w:val="698D21B3"/>
    <w:rsid w:val="698E0084"/>
    <w:rsid w:val="698E432E"/>
    <w:rsid w:val="698F00A6"/>
    <w:rsid w:val="698F62F8"/>
    <w:rsid w:val="699102C2"/>
    <w:rsid w:val="69912070"/>
    <w:rsid w:val="69934A52"/>
    <w:rsid w:val="69935DE8"/>
    <w:rsid w:val="6994390F"/>
    <w:rsid w:val="699566D7"/>
    <w:rsid w:val="69961435"/>
    <w:rsid w:val="699642BF"/>
    <w:rsid w:val="69966690"/>
    <w:rsid w:val="69990490"/>
    <w:rsid w:val="699B27FF"/>
    <w:rsid w:val="699B4C9D"/>
    <w:rsid w:val="699B5970"/>
    <w:rsid w:val="699D27C3"/>
    <w:rsid w:val="699D6C67"/>
    <w:rsid w:val="69A5373A"/>
    <w:rsid w:val="69A73642"/>
    <w:rsid w:val="69A91168"/>
    <w:rsid w:val="69A973BA"/>
    <w:rsid w:val="69AA4EE0"/>
    <w:rsid w:val="69AF24F6"/>
    <w:rsid w:val="69AF73BD"/>
    <w:rsid w:val="69B018C1"/>
    <w:rsid w:val="69B01F8E"/>
    <w:rsid w:val="69B33D95"/>
    <w:rsid w:val="69B813AB"/>
    <w:rsid w:val="69B95123"/>
    <w:rsid w:val="69BA15C7"/>
    <w:rsid w:val="69BB533F"/>
    <w:rsid w:val="69BD2E65"/>
    <w:rsid w:val="69BE2739"/>
    <w:rsid w:val="69BF35F2"/>
    <w:rsid w:val="69BF6BDD"/>
    <w:rsid w:val="69C05F4E"/>
    <w:rsid w:val="69C2047C"/>
    <w:rsid w:val="69C2222A"/>
    <w:rsid w:val="69C45FA2"/>
    <w:rsid w:val="69C50A30"/>
    <w:rsid w:val="69C77840"/>
    <w:rsid w:val="69C97A5C"/>
    <w:rsid w:val="69CA37DD"/>
    <w:rsid w:val="69CA7330"/>
    <w:rsid w:val="69CD62F0"/>
    <w:rsid w:val="69CF00F4"/>
    <w:rsid w:val="69D16911"/>
    <w:rsid w:val="69D34437"/>
    <w:rsid w:val="69D361E5"/>
    <w:rsid w:val="69D364AE"/>
    <w:rsid w:val="69D41F5D"/>
    <w:rsid w:val="69D501AF"/>
    <w:rsid w:val="69D56401"/>
    <w:rsid w:val="69D57C48"/>
    <w:rsid w:val="69D63F27"/>
    <w:rsid w:val="69D65CD5"/>
    <w:rsid w:val="69D865C9"/>
    <w:rsid w:val="69D87C9F"/>
    <w:rsid w:val="69DA3A17"/>
    <w:rsid w:val="69DC778F"/>
    <w:rsid w:val="69DD52B6"/>
    <w:rsid w:val="69DF102E"/>
    <w:rsid w:val="69E14DA6"/>
    <w:rsid w:val="69E20B1E"/>
    <w:rsid w:val="69E228CC"/>
    <w:rsid w:val="69E403F2"/>
    <w:rsid w:val="69E46644"/>
    <w:rsid w:val="69E76134"/>
    <w:rsid w:val="69E91EAC"/>
    <w:rsid w:val="69EA47A1"/>
    <w:rsid w:val="69EC374B"/>
    <w:rsid w:val="69EE301F"/>
    <w:rsid w:val="69F50851"/>
    <w:rsid w:val="69F66377"/>
    <w:rsid w:val="69F820EF"/>
    <w:rsid w:val="69FB573C"/>
    <w:rsid w:val="69FE33CB"/>
    <w:rsid w:val="6A002D52"/>
    <w:rsid w:val="6A021836"/>
    <w:rsid w:val="6A050368"/>
    <w:rsid w:val="6A050B73"/>
    <w:rsid w:val="6A06271C"/>
    <w:rsid w:val="6A072AD7"/>
    <w:rsid w:val="6A0942FC"/>
    <w:rsid w:val="6A0C16F7"/>
    <w:rsid w:val="6A0C7949"/>
    <w:rsid w:val="6A0D5B9B"/>
    <w:rsid w:val="6A0E546F"/>
    <w:rsid w:val="6A1011E7"/>
    <w:rsid w:val="6A106E8A"/>
    <w:rsid w:val="6A1175E1"/>
    <w:rsid w:val="6A1231B1"/>
    <w:rsid w:val="6A130CD7"/>
    <w:rsid w:val="6A154A4F"/>
    <w:rsid w:val="6A16113C"/>
    <w:rsid w:val="6A1727EA"/>
    <w:rsid w:val="6A18009C"/>
    <w:rsid w:val="6A184540"/>
    <w:rsid w:val="6A1862EE"/>
    <w:rsid w:val="6A1A3E14"/>
    <w:rsid w:val="6A1A691F"/>
    <w:rsid w:val="6A1C750D"/>
    <w:rsid w:val="6A1E618D"/>
    <w:rsid w:val="6A2151A2"/>
    <w:rsid w:val="6A22716C"/>
    <w:rsid w:val="6A23552C"/>
    <w:rsid w:val="6A244B48"/>
    <w:rsid w:val="6A244C92"/>
    <w:rsid w:val="6A2904FB"/>
    <w:rsid w:val="6A2B7DCF"/>
    <w:rsid w:val="6A2F4F8B"/>
    <w:rsid w:val="6A301889"/>
    <w:rsid w:val="6A331379"/>
    <w:rsid w:val="6A334ED5"/>
    <w:rsid w:val="6A352F84"/>
    <w:rsid w:val="6A3550F2"/>
    <w:rsid w:val="6A366774"/>
    <w:rsid w:val="6A372C18"/>
    <w:rsid w:val="6A38073E"/>
    <w:rsid w:val="6A3824EC"/>
    <w:rsid w:val="6A3A44B6"/>
    <w:rsid w:val="6A3C1FDC"/>
    <w:rsid w:val="6A402023"/>
    <w:rsid w:val="6A425119"/>
    <w:rsid w:val="6A425588"/>
    <w:rsid w:val="6A440E91"/>
    <w:rsid w:val="6A4470E3"/>
    <w:rsid w:val="6A462E5B"/>
    <w:rsid w:val="6A470981"/>
    <w:rsid w:val="6A482602"/>
    <w:rsid w:val="6A49294B"/>
    <w:rsid w:val="6A4946F9"/>
    <w:rsid w:val="6A4E2D04"/>
    <w:rsid w:val="6A4E7F61"/>
    <w:rsid w:val="6A503CD9"/>
    <w:rsid w:val="6A505A87"/>
    <w:rsid w:val="6A521800"/>
    <w:rsid w:val="6A535578"/>
    <w:rsid w:val="6A537326"/>
    <w:rsid w:val="6A590DE0"/>
    <w:rsid w:val="6A5A06B4"/>
    <w:rsid w:val="6A5A6906"/>
    <w:rsid w:val="6A5B4C9F"/>
    <w:rsid w:val="6A5C730C"/>
    <w:rsid w:val="6A5D01A4"/>
    <w:rsid w:val="6A5F216E"/>
    <w:rsid w:val="6A611A43"/>
    <w:rsid w:val="6A620C3B"/>
    <w:rsid w:val="6A6255CE"/>
    <w:rsid w:val="6A641533"/>
    <w:rsid w:val="6A647492"/>
    <w:rsid w:val="6A670C5E"/>
    <w:rsid w:val="6A681023"/>
    <w:rsid w:val="6A682DD1"/>
    <w:rsid w:val="6A694D9B"/>
    <w:rsid w:val="6A6B28C1"/>
    <w:rsid w:val="6A6B466F"/>
    <w:rsid w:val="6A6D0181"/>
    <w:rsid w:val="6A6D34F2"/>
    <w:rsid w:val="6A6D6639"/>
    <w:rsid w:val="6A6E721F"/>
    <w:rsid w:val="6A70612A"/>
    <w:rsid w:val="6A7554EE"/>
    <w:rsid w:val="6A760889"/>
    <w:rsid w:val="6A771266"/>
    <w:rsid w:val="6A7774B8"/>
    <w:rsid w:val="6A7A48B2"/>
    <w:rsid w:val="6A7A6FA8"/>
    <w:rsid w:val="6A7C4ACE"/>
    <w:rsid w:val="6A7E0847"/>
    <w:rsid w:val="6A7F011B"/>
    <w:rsid w:val="6A7F45BF"/>
    <w:rsid w:val="6A8219B9"/>
    <w:rsid w:val="6A823D4C"/>
    <w:rsid w:val="6A845199"/>
    <w:rsid w:val="6A857F0C"/>
    <w:rsid w:val="6A8614A9"/>
    <w:rsid w:val="6A876FCF"/>
    <w:rsid w:val="6A890F99"/>
    <w:rsid w:val="6A892D47"/>
    <w:rsid w:val="6A8A6CB9"/>
    <w:rsid w:val="6A9040D6"/>
    <w:rsid w:val="6A94006A"/>
    <w:rsid w:val="6A9562C0"/>
    <w:rsid w:val="6A95793E"/>
    <w:rsid w:val="6A975464"/>
    <w:rsid w:val="6A9A4F55"/>
    <w:rsid w:val="6A9B6DD9"/>
    <w:rsid w:val="6A9E4A45"/>
    <w:rsid w:val="6AA162E3"/>
    <w:rsid w:val="6AA302AD"/>
    <w:rsid w:val="6AA55DB5"/>
    <w:rsid w:val="6AA656A7"/>
    <w:rsid w:val="6AA858C3"/>
    <w:rsid w:val="6AA95198"/>
    <w:rsid w:val="6AB06526"/>
    <w:rsid w:val="6AB27AB2"/>
    <w:rsid w:val="6AB51D8E"/>
    <w:rsid w:val="6AB57FE0"/>
    <w:rsid w:val="6AB62F7E"/>
    <w:rsid w:val="6AB75B07"/>
    <w:rsid w:val="6ABA1153"/>
    <w:rsid w:val="6ABA6B4B"/>
    <w:rsid w:val="6ABC4ECB"/>
    <w:rsid w:val="6ABE0C43"/>
    <w:rsid w:val="6ABE50E7"/>
    <w:rsid w:val="6AC02C0D"/>
    <w:rsid w:val="6AC10733"/>
    <w:rsid w:val="6AC124E1"/>
    <w:rsid w:val="6AC36259"/>
    <w:rsid w:val="6AC364B9"/>
    <w:rsid w:val="6AC56093"/>
    <w:rsid w:val="6AC81AC2"/>
    <w:rsid w:val="6ACB7804"/>
    <w:rsid w:val="6ACD0E86"/>
    <w:rsid w:val="6ACD532A"/>
    <w:rsid w:val="6ACF2E50"/>
    <w:rsid w:val="6ACF3DC7"/>
    <w:rsid w:val="6AD16ECB"/>
    <w:rsid w:val="6AD20B92"/>
    <w:rsid w:val="6AD22940"/>
    <w:rsid w:val="6AD2649C"/>
    <w:rsid w:val="6AD40467"/>
    <w:rsid w:val="6AD55F8D"/>
    <w:rsid w:val="6AD71D05"/>
    <w:rsid w:val="6AD93CCF"/>
    <w:rsid w:val="6ADA17F5"/>
    <w:rsid w:val="6ADC556D"/>
    <w:rsid w:val="6ADE12E5"/>
    <w:rsid w:val="6ADF78E5"/>
    <w:rsid w:val="6AE461D0"/>
    <w:rsid w:val="6AE54422"/>
    <w:rsid w:val="6AE663EC"/>
    <w:rsid w:val="6AF3041C"/>
    <w:rsid w:val="6AF40B09"/>
    <w:rsid w:val="6AF44665"/>
    <w:rsid w:val="6AF74155"/>
    <w:rsid w:val="6AF9611F"/>
    <w:rsid w:val="6AF97ECD"/>
    <w:rsid w:val="6AFC1C8D"/>
    <w:rsid w:val="6AFE7291"/>
    <w:rsid w:val="6AFF300A"/>
    <w:rsid w:val="6AFF671E"/>
    <w:rsid w:val="6AFF6E02"/>
    <w:rsid w:val="6B014FD4"/>
    <w:rsid w:val="6B016D82"/>
    <w:rsid w:val="6B0845B4"/>
    <w:rsid w:val="6B086362"/>
    <w:rsid w:val="6B0A20DA"/>
    <w:rsid w:val="6B0A3E88"/>
    <w:rsid w:val="6B0A7AC3"/>
    <w:rsid w:val="6B0B19AE"/>
    <w:rsid w:val="6B0B4888"/>
    <w:rsid w:val="6B0F149F"/>
    <w:rsid w:val="6B0F5943"/>
    <w:rsid w:val="6B1747F7"/>
    <w:rsid w:val="6B19056F"/>
    <w:rsid w:val="6B1909F6"/>
    <w:rsid w:val="6B1A35C7"/>
    <w:rsid w:val="6B1C373F"/>
    <w:rsid w:val="6B1D005F"/>
    <w:rsid w:val="6B2036AC"/>
    <w:rsid w:val="6B235DBA"/>
    <w:rsid w:val="6B256F14"/>
    <w:rsid w:val="6B260059"/>
    <w:rsid w:val="6B2757E4"/>
    <w:rsid w:val="6B275ADB"/>
    <w:rsid w:val="6B2A5402"/>
    <w:rsid w:val="6B2B3DFF"/>
    <w:rsid w:val="6B2C02A3"/>
    <w:rsid w:val="6B2C2051"/>
    <w:rsid w:val="6B2C4161"/>
    <w:rsid w:val="6B2F38EF"/>
    <w:rsid w:val="6B3233DF"/>
    <w:rsid w:val="6B32518D"/>
    <w:rsid w:val="6B344A21"/>
    <w:rsid w:val="6B352872"/>
    <w:rsid w:val="6B376C47"/>
    <w:rsid w:val="6B3A1470"/>
    <w:rsid w:val="6B3B04E6"/>
    <w:rsid w:val="6B3C600C"/>
    <w:rsid w:val="6B3C7DBA"/>
    <w:rsid w:val="6B3E7DF1"/>
    <w:rsid w:val="6B3F779C"/>
    <w:rsid w:val="6B4078AA"/>
    <w:rsid w:val="6B43739A"/>
    <w:rsid w:val="6B4458AB"/>
    <w:rsid w:val="6B446834"/>
    <w:rsid w:val="6B460C38"/>
    <w:rsid w:val="6B472B04"/>
    <w:rsid w:val="6B476E8A"/>
    <w:rsid w:val="6B4A24D7"/>
    <w:rsid w:val="6B4B1D8F"/>
    <w:rsid w:val="6B4C26F3"/>
    <w:rsid w:val="6B4C3885"/>
    <w:rsid w:val="6B4E0D76"/>
    <w:rsid w:val="6B4E646B"/>
    <w:rsid w:val="6B4F3F91"/>
    <w:rsid w:val="6B4F5D3F"/>
    <w:rsid w:val="6B513CD6"/>
    <w:rsid w:val="6B5222C8"/>
    <w:rsid w:val="6B54127A"/>
    <w:rsid w:val="6B59096C"/>
    <w:rsid w:val="6B594E10"/>
    <w:rsid w:val="6B5B46E4"/>
    <w:rsid w:val="6B5C4ABB"/>
    <w:rsid w:val="6B5F7207"/>
    <w:rsid w:val="6B633598"/>
    <w:rsid w:val="6B6537B4"/>
    <w:rsid w:val="6B674DF9"/>
    <w:rsid w:val="6B686E01"/>
    <w:rsid w:val="6B692559"/>
    <w:rsid w:val="6B6A0DCB"/>
    <w:rsid w:val="6B6A2B79"/>
    <w:rsid w:val="6B6C069F"/>
    <w:rsid w:val="6B6D4417"/>
    <w:rsid w:val="6B6E08BB"/>
    <w:rsid w:val="6B6F018F"/>
    <w:rsid w:val="6B712159"/>
    <w:rsid w:val="6B714110"/>
    <w:rsid w:val="6B721A2E"/>
    <w:rsid w:val="6B732357"/>
    <w:rsid w:val="6B737C7F"/>
    <w:rsid w:val="6B741C4A"/>
    <w:rsid w:val="6B7457A6"/>
    <w:rsid w:val="6B781412"/>
    <w:rsid w:val="6B785296"/>
    <w:rsid w:val="6B7927E6"/>
    <w:rsid w:val="6B792DBC"/>
    <w:rsid w:val="6B7B14D4"/>
    <w:rsid w:val="6B7B2FD8"/>
    <w:rsid w:val="6B7D0AFE"/>
    <w:rsid w:val="6B7E03D2"/>
    <w:rsid w:val="6B7E5C45"/>
    <w:rsid w:val="6B7E6624"/>
    <w:rsid w:val="6B815DC5"/>
    <w:rsid w:val="6B817F21"/>
    <w:rsid w:val="6B851761"/>
    <w:rsid w:val="6B8754D9"/>
    <w:rsid w:val="6B881251"/>
    <w:rsid w:val="6B893F66"/>
    <w:rsid w:val="6B8B54C6"/>
    <w:rsid w:val="6B8C0D41"/>
    <w:rsid w:val="6B8C2AEF"/>
    <w:rsid w:val="6B8F0831"/>
    <w:rsid w:val="6B8F25DF"/>
    <w:rsid w:val="6B916358"/>
    <w:rsid w:val="6B9320D0"/>
    <w:rsid w:val="6B9419A4"/>
    <w:rsid w:val="6B95409A"/>
    <w:rsid w:val="6B9758F6"/>
    <w:rsid w:val="6B99520C"/>
    <w:rsid w:val="6B9B71D6"/>
    <w:rsid w:val="6B9D2F4E"/>
    <w:rsid w:val="6BA047ED"/>
    <w:rsid w:val="6BA22313"/>
    <w:rsid w:val="6BA306E0"/>
    <w:rsid w:val="6BA37E39"/>
    <w:rsid w:val="6BA442DD"/>
    <w:rsid w:val="6BA46F9F"/>
    <w:rsid w:val="6BA73DCD"/>
    <w:rsid w:val="6BA75920"/>
    <w:rsid w:val="6BA77929"/>
    <w:rsid w:val="6BA937C5"/>
    <w:rsid w:val="6BAA7419"/>
    <w:rsid w:val="6BAC4F3F"/>
    <w:rsid w:val="6BAD1792"/>
    <w:rsid w:val="6BAE0CB8"/>
    <w:rsid w:val="6BAE515B"/>
    <w:rsid w:val="6BAE6F0A"/>
    <w:rsid w:val="6BB107A8"/>
    <w:rsid w:val="6BB12CE4"/>
    <w:rsid w:val="6BB24174"/>
    <w:rsid w:val="6BB34520"/>
    <w:rsid w:val="6BB34F40"/>
    <w:rsid w:val="6BB43DF4"/>
    <w:rsid w:val="6BB67B6C"/>
    <w:rsid w:val="6BB93516"/>
    <w:rsid w:val="6BBB5183"/>
    <w:rsid w:val="6BC04E8F"/>
    <w:rsid w:val="6BC06C3D"/>
    <w:rsid w:val="6BC229B5"/>
    <w:rsid w:val="6BC404DB"/>
    <w:rsid w:val="6BC524A5"/>
    <w:rsid w:val="6BC84636"/>
    <w:rsid w:val="6BC8789F"/>
    <w:rsid w:val="6BCA186A"/>
    <w:rsid w:val="6BCB63A3"/>
    <w:rsid w:val="6BCB7ABB"/>
    <w:rsid w:val="6BCC3834"/>
    <w:rsid w:val="6BCC7390"/>
    <w:rsid w:val="6BCE4EB6"/>
    <w:rsid w:val="6BD050D2"/>
    <w:rsid w:val="6BD12BF8"/>
    <w:rsid w:val="6BD46244"/>
    <w:rsid w:val="6BD526E8"/>
    <w:rsid w:val="6BD61E2E"/>
    <w:rsid w:val="6BD83F86"/>
    <w:rsid w:val="6BDB3A77"/>
    <w:rsid w:val="6BDB5825"/>
    <w:rsid w:val="6BDD77EF"/>
    <w:rsid w:val="6BDF5315"/>
    <w:rsid w:val="6BE0108D"/>
    <w:rsid w:val="6BE20961"/>
    <w:rsid w:val="6BE272A9"/>
    <w:rsid w:val="6BE40B7D"/>
    <w:rsid w:val="6BE50451"/>
    <w:rsid w:val="6BE747E0"/>
    <w:rsid w:val="6BE86CF5"/>
    <w:rsid w:val="6BEA1734"/>
    <w:rsid w:val="6BEA5A68"/>
    <w:rsid w:val="6BF10177"/>
    <w:rsid w:val="6BF15048"/>
    <w:rsid w:val="6BF40694"/>
    <w:rsid w:val="6BF47D6A"/>
    <w:rsid w:val="6BF608B1"/>
    <w:rsid w:val="6BFC7F2A"/>
    <w:rsid w:val="6BFD1C3F"/>
    <w:rsid w:val="6BFD39ED"/>
    <w:rsid w:val="6BFF1513"/>
    <w:rsid w:val="6C0024CA"/>
    <w:rsid w:val="6C00528B"/>
    <w:rsid w:val="6C007039"/>
    <w:rsid w:val="6C021003"/>
    <w:rsid w:val="6C030E4B"/>
    <w:rsid w:val="6C040D59"/>
    <w:rsid w:val="6C042FCD"/>
    <w:rsid w:val="6C046B2A"/>
    <w:rsid w:val="6C060AF4"/>
    <w:rsid w:val="6C066D46"/>
    <w:rsid w:val="6C0677CC"/>
    <w:rsid w:val="6C094140"/>
    <w:rsid w:val="6C0A7EB8"/>
    <w:rsid w:val="6C0B21AE"/>
    <w:rsid w:val="6C0B75DD"/>
    <w:rsid w:val="6C0C3C30"/>
    <w:rsid w:val="6C0D620F"/>
    <w:rsid w:val="6C103720"/>
    <w:rsid w:val="6C117498"/>
    <w:rsid w:val="6C180827"/>
    <w:rsid w:val="6C1825D5"/>
    <w:rsid w:val="6C194139"/>
    <w:rsid w:val="6C197958"/>
    <w:rsid w:val="6C1D5E3D"/>
    <w:rsid w:val="6C1F1BB5"/>
    <w:rsid w:val="6C1F5711"/>
    <w:rsid w:val="6C20148A"/>
    <w:rsid w:val="6C204A68"/>
    <w:rsid w:val="6C2442A7"/>
    <w:rsid w:val="6C28270A"/>
    <w:rsid w:val="6C2947E2"/>
    <w:rsid w:val="6C296590"/>
    <w:rsid w:val="6C2B055A"/>
    <w:rsid w:val="6C2C42D2"/>
    <w:rsid w:val="6C2C6080"/>
    <w:rsid w:val="6C2C60C4"/>
    <w:rsid w:val="6C2E1DF8"/>
    <w:rsid w:val="6C2F3CD8"/>
    <w:rsid w:val="6C315445"/>
    <w:rsid w:val="6C3311BD"/>
    <w:rsid w:val="6C3513D9"/>
    <w:rsid w:val="6C353187"/>
    <w:rsid w:val="6C35541B"/>
    <w:rsid w:val="6C360CAD"/>
    <w:rsid w:val="6C3867D3"/>
    <w:rsid w:val="6C3A254B"/>
    <w:rsid w:val="6C3A69EF"/>
    <w:rsid w:val="6C3B62C3"/>
    <w:rsid w:val="6C3C2767"/>
    <w:rsid w:val="6C3F5DB4"/>
    <w:rsid w:val="6C417D7E"/>
    <w:rsid w:val="6C4258A4"/>
    <w:rsid w:val="6C447F32"/>
    <w:rsid w:val="6C472EBA"/>
    <w:rsid w:val="6C496C32"/>
    <w:rsid w:val="6C4B23BA"/>
    <w:rsid w:val="6C4B29AA"/>
    <w:rsid w:val="6C4B4758"/>
    <w:rsid w:val="6C4B52B3"/>
    <w:rsid w:val="6C4E249B"/>
    <w:rsid w:val="6C4E5FF7"/>
    <w:rsid w:val="6C501D6F"/>
    <w:rsid w:val="6C506213"/>
    <w:rsid w:val="6C523D39"/>
    <w:rsid w:val="6C53185F"/>
    <w:rsid w:val="6C5A0E3F"/>
    <w:rsid w:val="6C5A499B"/>
    <w:rsid w:val="6C5A7C50"/>
    <w:rsid w:val="6C5F1FB2"/>
    <w:rsid w:val="6C5F24EE"/>
    <w:rsid w:val="6C615D2A"/>
    <w:rsid w:val="6C64581A"/>
    <w:rsid w:val="6C652DB8"/>
    <w:rsid w:val="6C663340"/>
    <w:rsid w:val="6C68355C"/>
    <w:rsid w:val="6C6972D4"/>
    <w:rsid w:val="6C6A4059"/>
    <w:rsid w:val="6C6B4DFB"/>
    <w:rsid w:val="6C6D0B73"/>
    <w:rsid w:val="6C6D2921"/>
    <w:rsid w:val="6C6E6699"/>
    <w:rsid w:val="6C7041BF"/>
    <w:rsid w:val="6C726189"/>
    <w:rsid w:val="6C733CAF"/>
    <w:rsid w:val="6C735A5D"/>
    <w:rsid w:val="6C783074"/>
    <w:rsid w:val="6C792F32"/>
    <w:rsid w:val="6C7B40C0"/>
    <w:rsid w:val="6C7C2B64"/>
    <w:rsid w:val="6C7F08A6"/>
    <w:rsid w:val="6C823710"/>
    <w:rsid w:val="6C8620F1"/>
    <w:rsid w:val="6C871509"/>
    <w:rsid w:val="6C891FB9"/>
    <w:rsid w:val="6C8E2897"/>
    <w:rsid w:val="6C9003BD"/>
    <w:rsid w:val="6C9205D9"/>
    <w:rsid w:val="6C953C26"/>
    <w:rsid w:val="6C97174C"/>
    <w:rsid w:val="6C975BF0"/>
    <w:rsid w:val="6C9A123C"/>
    <w:rsid w:val="6C9F2CF6"/>
    <w:rsid w:val="6C9F4AA4"/>
    <w:rsid w:val="6CA05869"/>
    <w:rsid w:val="6CA125CA"/>
    <w:rsid w:val="6CA31619"/>
    <w:rsid w:val="6CA4030D"/>
    <w:rsid w:val="6CA9147F"/>
    <w:rsid w:val="6CA976D1"/>
    <w:rsid w:val="6CAA2B0F"/>
    <w:rsid w:val="6CAB3449"/>
    <w:rsid w:val="6CAB7E55"/>
    <w:rsid w:val="6CAD5413"/>
    <w:rsid w:val="6CAE2F39"/>
    <w:rsid w:val="6CB06CB1"/>
    <w:rsid w:val="6CB322FE"/>
    <w:rsid w:val="6CB3562B"/>
    <w:rsid w:val="6CB542C8"/>
    <w:rsid w:val="6CB63C68"/>
    <w:rsid w:val="6CB70040"/>
    <w:rsid w:val="6CB71DEE"/>
    <w:rsid w:val="6CBA18DE"/>
    <w:rsid w:val="6CBA368C"/>
    <w:rsid w:val="6CBC0780"/>
    <w:rsid w:val="6CBC7404"/>
    <w:rsid w:val="6CBF282C"/>
    <w:rsid w:val="6CC14A1B"/>
    <w:rsid w:val="6CC16C42"/>
    <w:rsid w:val="6CC4450B"/>
    <w:rsid w:val="6CC462B9"/>
    <w:rsid w:val="6CC8224D"/>
    <w:rsid w:val="6CCB7647"/>
    <w:rsid w:val="6CCD33BF"/>
    <w:rsid w:val="6CCF5389"/>
    <w:rsid w:val="6CD010B4"/>
    <w:rsid w:val="6CD24E7A"/>
    <w:rsid w:val="6CD26C28"/>
    <w:rsid w:val="6CD3474E"/>
    <w:rsid w:val="6CD40BF2"/>
    <w:rsid w:val="6CD417E7"/>
    <w:rsid w:val="6CD44759"/>
    <w:rsid w:val="6CD504C6"/>
    <w:rsid w:val="6CD72490"/>
    <w:rsid w:val="6CDA5ADC"/>
    <w:rsid w:val="6CDC1854"/>
    <w:rsid w:val="6CDC3602"/>
    <w:rsid w:val="6CDF1345"/>
    <w:rsid w:val="6CDF292F"/>
    <w:rsid w:val="6CE150BD"/>
    <w:rsid w:val="6CE60925"/>
    <w:rsid w:val="6CE95783"/>
    <w:rsid w:val="6CE95D1F"/>
    <w:rsid w:val="6CEB1A97"/>
    <w:rsid w:val="6CEC29E0"/>
    <w:rsid w:val="6CEC515F"/>
    <w:rsid w:val="6CED272F"/>
    <w:rsid w:val="6CED5510"/>
    <w:rsid w:val="6CED769A"/>
    <w:rsid w:val="6CEF1361"/>
    <w:rsid w:val="6CEF1588"/>
    <w:rsid w:val="6CF22E26"/>
    <w:rsid w:val="6CF272CA"/>
    <w:rsid w:val="6CF30226"/>
    <w:rsid w:val="6CF52916"/>
    <w:rsid w:val="6CF7043C"/>
    <w:rsid w:val="6CF90658"/>
    <w:rsid w:val="6CF92406"/>
    <w:rsid w:val="6CFC61C3"/>
    <w:rsid w:val="6CFD5F76"/>
    <w:rsid w:val="6CFE17CB"/>
    <w:rsid w:val="6D0019E7"/>
    <w:rsid w:val="6D010BA5"/>
    <w:rsid w:val="6D042B59"/>
    <w:rsid w:val="6D051C7B"/>
    <w:rsid w:val="6D06056F"/>
    <w:rsid w:val="6D06067F"/>
    <w:rsid w:val="6D0A63C2"/>
    <w:rsid w:val="6D0A6F75"/>
    <w:rsid w:val="6D0B19EF"/>
    <w:rsid w:val="6D0C0889"/>
    <w:rsid w:val="6D0D5EB2"/>
    <w:rsid w:val="6D0F1C2A"/>
    <w:rsid w:val="6D1014FE"/>
    <w:rsid w:val="6D107750"/>
    <w:rsid w:val="6D12171A"/>
    <w:rsid w:val="6D125276"/>
    <w:rsid w:val="6D140F40"/>
    <w:rsid w:val="6D147240"/>
    <w:rsid w:val="6D185805"/>
    <w:rsid w:val="6D2532D0"/>
    <w:rsid w:val="6D257FA0"/>
    <w:rsid w:val="6D286848"/>
    <w:rsid w:val="6D29033A"/>
    <w:rsid w:val="6D2A25C0"/>
    <w:rsid w:val="6D2C27DC"/>
    <w:rsid w:val="6D2F5E28"/>
    <w:rsid w:val="6D303931"/>
    <w:rsid w:val="6D317DF2"/>
    <w:rsid w:val="6D321474"/>
    <w:rsid w:val="6D325205"/>
    <w:rsid w:val="6D3276C6"/>
    <w:rsid w:val="6D341690"/>
    <w:rsid w:val="6D3528A0"/>
    <w:rsid w:val="6D3671B7"/>
    <w:rsid w:val="6D371181"/>
    <w:rsid w:val="6D3C6227"/>
    <w:rsid w:val="6D401DE3"/>
    <w:rsid w:val="6D415B5B"/>
    <w:rsid w:val="6D417909"/>
    <w:rsid w:val="6D4672D9"/>
    <w:rsid w:val="6D48513C"/>
    <w:rsid w:val="6D4A4A10"/>
    <w:rsid w:val="6D4D2752"/>
    <w:rsid w:val="6D4F0278"/>
    <w:rsid w:val="6D513FF0"/>
    <w:rsid w:val="6D527D69"/>
    <w:rsid w:val="6D5344F5"/>
    <w:rsid w:val="6D57712D"/>
    <w:rsid w:val="6D594C53"/>
    <w:rsid w:val="6D5B09CB"/>
    <w:rsid w:val="6D5B17B0"/>
    <w:rsid w:val="6D5B4E6F"/>
    <w:rsid w:val="6D5E2269"/>
    <w:rsid w:val="6D5E670D"/>
    <w:rsid w:val="6D604233"/>
    <w:rsid w:val="6D611D5A"/>
    <w:rsid w:val="6D617984"/>
    <w:rsid w:val="6D617FAC"/>
    <w:rsid w:val="6D65184A"/>
    <w:rsid w:val="6D6535F8"/>
    <w:rsid w:val="6D68133A"/>
    <w:rsid w:val="6D6830E8"/>
    <w:rsid w:val="6D6C31E6"/>
    <w:rsid w:val="6D6C3BC5"/>
    <w:rsid w:val="6D6D4BA2"/>
    <w:rsid w:val="6D6D6950"/>
    <w:rsid w:val="6D714693"/>
    <w:rsid w:val="6D725612"/>
    <w:rsid w:val="6D730EC7"/>
    <w:rsid w:val="6D741A8D"/>
    <w:rsid w:val="6D745F31"/>
    <w:rsid w:val="6D747CDF"/>
    <w:rsid w:val="6D761CA9"/>
    <w:rsid w:val="6D763A57"/>
    <w:rsid w:val="6D77157D"/>
    <w:rsid w:val="6D7777CF"/>
    <w:rsid w:val="6D793547"/>
    <w:rsid w:val="6D7D4B4A"/>
    <w:rsid w:val="6D7D5326"/>
    <w:rsid w:val="6D7E504C"/>
    <w:rsid w:val="6D800432"/>
    <w:rsid w:val="6D8048D6"/>
    <w:rsid w:val="6D8141AA"/>
    <w:rsid w:val="6D82064E"/>
    <w:rsid w:val="6D836174"/>
    <w:rsid w:val="6D8617C0"/>
    <w:rsid w:val="6D885538"/>
    <w:rsid w:val="6D8A12B0"/>
    <w:rsid w:val="6D8B6862"/>
    <w:rsid w:val="6D8B6DD7"/>
    <w:rsid w:val="6D8F4B19"/>
    <w:rsid w:val="6D934609"/>
    <w:rsid w:val="6D9914F3"/>
    <w:rsid w:val="6D9933EF"/>
    <w:rsid w:val="6D9B526C"/>
    <w:rsid w:val="6DA46816"/>
    <w:rsid w:val="6DA71186"/>
    <w:rsid w:val="6DA85BDA"/>
    <w:rsid w:val="6DAD31F1"/>
    <w:rsid w:val="6DAE1443"/>
    <w:rsid w:val="6DAF0D17"/>
    <w:rsid w:val="6DAF2A8F"/>
    <w:rsid w:val="6DB12CE1"/>
    <w:rsid w:val="6DB30807"/>
    <w:rsid w:val="6DBA5467"/>
    <w:rsid w:val="6DBB590E"/>
    <w:rsid w:val="6DBC51E2"/>
    <w:rsid w:val="6DBD1686"/>
    <w:rsid w:val="6DBD1FDD"/>
    <w:rsid w:val="6DBE5485"/>
    <w:rsid w:val="6DBE71AC"/>
    <w:rsid w:val="6DC347C2"/>
    <w:rsid w:val="6DC36570"/>
    <w:rsid w:val="6DC41DD2"/>
    <w:rsid w:val="6DC46452"/>
    <w:rsid w:val="6DC522E8"/>
    <w:rsid w:val="6DC5678C"/>
    <w:rsid w:val="6DC6202A"/>
    <w:rsid w:val="6DC742B3"/>
    <w:rsid w:val="6DC81DD9"/>
    <w:rsid w:val="6DC9002B"/>
    <w:rsid w:val="6DC91CC0"/>
    <w:rsid w:val="6DC9627D"/>
    <w:rsid w:val="6DCA1331"/>
    <w:rsid w:val="6DCA5B51"/>
    <w:rsid w:val="6DCB15B1"/>
    <w:rsid w:val="6DCB757A"/>
    <w:rsid w:val="6DCE5641"/>
    <w:rsid w:val="6DCF03CB"/>
    <w:rsid w:val="6DCF0A73"/>
    <w:rsid w:val="6DCF3167"/>
    <w:rsid w:val="6DCF4F15"/>
    <w:rsid w:val="6DD10C8D"/>
    <w:rsid w:val="6DD30EA9"/>
    <w:rsid w:val="6DD369BE"/>
    <w:rsid w:val="6DD469CF"/>
    <w:rsid w:val="6DD53539"/>
    <w:rsid w:val="6DD616F3"/>
    <w:rsid w:val="6DD8026E"/>
    <w:rsid w:val="6DDD3AD6"/>
    <w:rsid w:val="6DDD7632"/>
    <w:rsid w:val="6DDE1315"/>
    <w:rsid w:val="6DE22E9A"/>
    <w:rsid w:val="6DEA61F3"/>
    <w:rsid w:val="6DEC3D19"/>
    <w:rsid w:val="6DEC5AC7"/>
    <w:rsid w:val="6DEC7532"/>
    <w:rsid w:val="6DEE0E0A"/>
    <w:rsid w:val="6DF1132F"/>
    <w:rsid w:val="6DF36E56"/>
    <w:rsid w:val="6DF57072"/>
    <w:rsid w:val="6DF64B98"/>
    <w:rsid w:val="6DFC5FDF"/>
    <w:rsid w:val="6DFD1A82"/>
    <w:rsid w:val="6DFE08FF"/>
    <w:rsid w:val="6DFE57FA"/>
    <w:rsid w:val="6DFE7BE5"/>
    <w:rsid w:val="6E001573"/>
    <w:rsid w:val="6E0214E2"/>
    <w:rsid w:val="6E027099"/>
    <w:rsid w:val="6E040EC6"/>
    <w:rsid w:val="6E0472B5"/>
    <w:rsid w:val="6E0508AC"/>
    <w:rsid w:val="6E054C0E"/>
    <w:rsid w:val="6E072310"/>
    <w:rsid w:val="6E072901"/>
    <w:rsid w:val="6E080427"/>
    <w:rsid w:val="6E092E8C"/>
    <w:rsid w:val="6E0948CB"/>
    <w:rsid w:val="6E0A23F1"/>
    <w:rsid w:val="6E0E1EE1"/>
    <w:rsid w:val="6E0E213F"/>
    <w:rsid w:val="6E0E5A3E"/>
    <w:rsid w:val="6E0F7A08"/>
    <w:rsid w:val="6E100881"/>
    <w:rsid w:val="6E10402A"/>
    <w:rsid w:val="6E133FEF"/>
    <w:rsid w:val="6E13574A"/>
    <w:rsid w:val="6E162B44"/>
    <w:rsid w:val="6E1A6AD8"/>
    <w:rsid w:val="6E1B015A"/>
    <w:rsid w:val="6E1F40EF"/>
    <w:rsid w:val="6E1F5E9D"/>
    <w:rsid w:val="6E2214E9"/>
    <w:rsid w:val="6E22598D"/>
    <w:rsid w:val="6E22773B"/>
    <w:rsid w:val="6E286C77"/>
    <w:rsid w:val="6E301E58"/>
    <w:rsid w:val="6E315BD0"/>
    <w:rsid w:val="6E337B9A"/>
    <w:rsid w:val="6E3631E6"/>
    <w:rsid w:val="6E380D0C"/>
    <w:rsid w:val="6E382EA8"/>
    <w:rsid w:val="6E3851B0"/>
    <w:rsid w:val="6E3A6313"/>
    <w:rsid w:val="6E3B7411"/>
    <w:rsid w:val="6E3D6323"/>
    <w:rsid w:val="6E3E31C1"/>
    <w:rsid w:val="6E3E5E60"/>
    <w:rsid w:val="6E3F02ED"/>
    <w:rsid w:val="6E3F209B"/>
    <w:rsid w:val="6E41661F"/>
    <w:rsid w:val="6E441C04"/>
    <w:rsid w:val="6E4476B1"/>
    <w:rsid w:val="6E4504C3"/>
    <w:rsid w:val="6E4753F3"/>
    <w:rsid w:val="6E4771A1"/>
    <w:rsid w:val="6E49060D"/>
    <w:rsid w:val="6E49116B"/>
    <w:rsid w:val="6E4A0A40"/>
    <w:rsid w:val="6E4B4EE4"/>
    <w:rsid w:val="6E4D1826"/>
    <w:rsid w:val="6E4E22DE"/>
    <w:rsid w:val="6E5001A7"/>
    <w:rsid w:val="6E5024FA"/>
    <w:rsid w:val="6E565636"/>
    <w:rsid w:val="6E5673E4"/>
    <w:rsid w:val="6E5B2C4D"/>
    <w:rsid w:val="6E5B69FB"/>
    <w:rsid w:val="6E5C24F7"/>
    <w:rsid w:val="6E5D69C5"/>
    <w:rsid w:val="6E602011"/>
    <w:rsid w:val="6E625D89"/>
    <w:rsid w:val="6E641B01"/>
    <w:rsid w:val="6E645FA5"/>
    <w:rsid w:val="6E661D1D"/>
    <w:rsid w:val="6E663ACB"/>
    <w:rsid w:val="6E66587A"/>
    <w:rsid w:val="6E6715F2"/>
    <w:rsid w:val="6E671E41"/>
    <w:rsid w:val="6E69536A"/>
    <w:rsid w:val="6E6B7334"/>
    <w:rsid w:val="6E6C09B6"/>
    <w:rsid w:val="6E6C6C08"/>
    <w:rsid w:val="6E6F4BC0"/>
    <w:rsid w:val="6E700D11"/>
    <w:rsid w:val="6E70494A"/>
    <w:rsid w:val="6E71421E"/>
    <w:rsid w:val="6E7220B1"/>
    <w:rsid w:val="6E777A87"/>
    <w:rsid w:val="6E7837FF"/>
    <w:rsid w:val="6E7B0DE6"/>
    <w:rsid w:val="6E7D0E15"/>
    <w:rsid w:val="6E7E2306"/>
    <w:rsid w:val="6E8201DA"/>
    <w:rsid w:val="6E832B77"/>
    <w:rsid w:val="6E8421A4"/>
    <w:rsid w:val="6E851A78"/>
    <w:rsid w:val="6E8757F0"/>
    <w:rsid w:val="6E8A28E9"/>
    <w:rsid w:val="6E8A7499"/>
    <w:rsid w:val="6E8C1058"/>
    <w:rsid w:val="6E8C40E8"/>
    <w:rsid w:val="6E900B48"/>
    <w:rsid w:val="6E921E64"/>
    <w:rsid w:val="6E9248C1"/>
    <w:rsid w:val="6E9323A2"/>
    <w:rsid w:val="6E9323E7"/>
    <w:rsid w:val="6E9404C0"/>
    <w:rsid w:val="6E9879FD"/>
    <w:rsid w:val="6E9C573F"/>
    <w:rsid w:val="6E9D506D"/>
    <w:rsid w:val="6E9F0D8B"/>
    <w:rsid w:val="6E9F2B3A"/>
    <w:rsid w:val="6E9F3C9F"/>
    <w:rsid w:val="6EA13894"/>
    <w:rsid w:val="6EA14B04"/>
    <w:rsid w:val="6EA22C9D"/>
    <w:rsid w:val="6EA75E92"/>
    <w:rsid w:val="6EA91C0A"/>
    <w:rsid w:val="6EAB14DE"/>
    <w:rsid w:val="6EAB7730"/>
    <w:rsid w:val="6EAC5256"/>
    <w:rsid w:val="6EAE0FCF"/>
    <w:rsid w:val="6EAE7189"/>
    <w:rsid w:val="6EAF7707"/>
    <w:rsid w:val="6EB26D11"/>
    <w:rsid w:val="6EB32A89"/>
    <w:rsid w:val="6EB72579"/>
    <w:rsid w:val="6EB81E4D"/>
    <w:rsid w:val="6EB83BFB"/>
    <w:rsid w:val="6EBC36EB"/>
    <w:rsid w:val="6EBE56B6"/>
    <w:rsid w:val="6EBF4F8A"/>
    <w:rsid w:val="6EC32CCC"/>
    <w:rsid w:val="6EC3303A"/>
    <w:rsid w:val="6EC425A0"/>
    <w:rsid w:val="6EC627BC"/>
    <w:rsid w:val="6EC66318"/>
    <w:rsid w:val="6EC8176A"/>
    <w:rsid w:val="6ECD3B4B"/>
    <w:rsid w:val="6ECF78C3"/>
    <w:rsid w:val="6ED30A35"/>
    <w:rsid w:val="6ED37FBE"/>
    <w:rsid w:val="6ED70525"/>
    <w:rsid w:val="6ED8429D"/>
    <w:rsid w:val="6EDB549D"/>
    <w:rsid w:val="6EE039DB"/>
    <w:rsid w:val="6EE06396"/>
    <w:rsid w:val="6EE13152"/>
    <w:rsid w:val="6EE3336E"/>
    <w:rsid w:val="6EE40E94"/>
    <w:rsid w:val="6EE60768"/>
    <w:rsid w:val="6EE669BA"/>
    <w:rsid w:val="6EE92007"/>
    <w:rsid w:val="6EED1AF7"/>
    <w:rsid w:val="6EED5F9B"/>
    <w:rsid w:val="6EF015E7"/>
    <w:rsid w:val="6EF235B1"/>
    <w:rsid w:val="6EF8407C"/>
    <w:rsid w:val="6EF94940"/>
    <w:rsid w:val="6EFA2466"/>
    <w:rsid w:val="6EFC4430"/>
    <w:rsid w:val="6F0357BE"/>
    <w:rsid w:val="6F03595C"/>
    <w:rsid w:val="6F062BB9"/>
    <w:rsid w:val="6F064714"/>
    <w:rsid w:val="6F06705D"/>
    <w:rsid w:val="6F07576D"/>
    <w:rsid w:val="6F076F23"/>
    <w:rsid w:val="6F082743"/>
    <w:rsid w:val="6F082DD5"/>
    <w:rsid w:val="6F094457"/>
    <w:rsid w:val="6F0B01CF"/>
    <w:rsid w:val="6F0E7CBF"/>
    <w:rsid w:val="6F101C89"/>
    <w:rsid w:val="6F1352D6"/>
    <w:rsid w:val="6F1572A0"/>
    <w:rsid w:val="6F173018"/>
    <w:rsid w:val="6F174DC6"/>
    <w:rsid w:val="6F196D90"/>
    <w:rsid w:val="6F1A3BE3"/>
    <w:rsid w:val="6F1B634E"/>
    <w:rsid w:val="6F1C23DC"/>
    <w:rsid w:val="6F231363"/>
    <w:rsid w:val="6F231884"/>
    <w:rsid w:val="6F250CF6"/>
    <w:rsid w:val="6F26325B"/>
    <w:rsid w:val="6F280D81"/>
    <w:rsid w:val="6F2968A7"/>
    <w:rsid w:val="6F2A4AF9"/>
    <w:rsid w:val="6F2B0871"/>
    <w:rsid w:val="6F2B2472"/>
    <w:rsid w:val="6F2F0361"/>
    <w:rsid w:val="6F2F0E79"/>
    <w:rsid w:val="6F2F210F"/>
    <w:rsid w:val="6F304919"/>
    <w:rsid w:val="6F307C36"/>
    <w:rsid w:val="6F36229B"/>
    <w:rsid w:val="6F370FC4"/>
    <w:rsid w:val="6F374B81"/>
    <w:rsid w:val="6F3A0AB4"/>
    <w:rsid w:val="6F3B6306"/>
    <w:rsid w:val="6F3B6D06"/>
    <w:rsid w:val="6F3E67F6"/>
    <w:rsid w:val="6F3F446E"/>
    <w:rsid w:val="6F481423"/>
    <w:rsid w:val="6F490CF7"/>
    <w:rsid w:val="6F4A6F49"/>
    <w:rsid w:val="6F4D6A39"/>
    <w:rsid w:val="6F5163A9"/>
    <w:rsid w:val="6F55769C"/>
    <w:rsid w:val="6F561264"/>
    <w:rsid w:val="6F583B84"/>
    <w:rsid w:val="6F593630"/>
    <w:rsid w:val="6F5A2F04"/>
    <w:rsid w:val="6F5B11AF"/>
    <w:rsid w:val="6F5C0A2B"/>
    <w:rsid w:val="6F5D32D7"/>
    <w:rsid w:val="6F5E29F5"/>
    <w:rsid w:val="6F5E47A3"/>
    <w:rsid w:val="6F6079A0"/>
    <w:rsid w:val="6F616377"/>
    <w:rsid w:val="6F624B4B"/>
    <w:rsid w:val="6F63625D"/>
    <w:rsid w:val="6F6618A9"/>
    <w:rsid w:val="6F683873"/>
    <w:rsid w:val="6F6A3147"/>
    <w:rsid w:val="6F6A75EB"/>
    <w:rsid w:val="6F6B1C1A"/>
    <w:rsid w:val="6F6B77E3"/>
    <w:rsid w:val="6F6D3DA5"/>
    <w:rsid w:val="6F6D49E6"/>
    <w:rsid w:val="6F6E74EB"/>
    <w:rsid w:val="6F6F075E"/>
    <w:rsid w:val="6F71097A"/>
    <w:rsid w:val="6F777F3C"/>
    <w:rsid w:val="6F795A80"/>
    <w:rsid w:val="6F79782E"/>
    <w:rsid w:val="6F7B5355"/>
    <w:rsid w:val="6F7C183E"/>
    <w:rsid w:val="6F7C5B41"/>
    <w:rsid w:val="6F7E3097"/>
    <w:rsid w:val="6F7E4E45"/>
    <w:rsid w:val="6F8040FB"/>
    <w:rsid w:val="6F814935"/>
    <w:rsid w:val="6F83245B"/>
    <w:rsid w:val="6F836B40"/>
    <w:rsid w:val="6F86531E"/>
    <w:rsid w:val="6F8A5583"/>
    <w:rsid w:val="6F8D5088"/>
    <w:rsid w:val="6F906926"/>
    <w:rsid w:val="6F912DCA"/>
    <w:rsid w:val="6F92269E"/>
    <w:rsid w:val="6F9251A5"/>
    <w:rsid w:val="6F9778AF"/>
    <w:rsid w:val="6F984159"/>
    <w:rsid w:val="6F993A2D"/>
    <w:rsid w:val="6F9957DB"/>
    <w:rsid w:val="6F9B1553"/>
    <w:rsid w:val="6FA04DBB"/>
    <w:rsid w:val="6FA26D85"/>
    <w:rsid w:val="6FA42810"/>
    <w:rsid w:val="6FA50623"/>
    <w:rsid w:val="6FA7439C"/>
    <w:rsid w:val="6FA7614A"/>
    <w:rsid w:val="6FA83C70"/>
    <w:rsid w:val="6FAA5C3A"/>
    <w:rsid w:val="6FAC19B2"/>
    <w:rsid w:val="6FAF14A2"/>
    <w:rsid w:val="6FAF4FFE"/>
    <w:rsid w:val="6FB121AF"/>
    <w:rsid w:val="6FB2689C"/>
    <w:rsid w:val="6FB91A91"/>
    <w:rsid w:val="6FBB39A3"/>
    <w:rsid w:val="6FBC1944"/>
    <w:rsid w:val="6FBF2B40"/>
    <w:rsid w:val="6FC05652"/>
    <w:rsid w:val="6FC07921"/>
    <w:rsid w:val="6FC211D5"/>
    <w:rsid w:val="6FC36CFC"/>
    <w:rsid w:val="6FC420DD"/>
    <w:rsid w:val="6FC56858"/>
    <w:rsid w:val="6FC62348"/>
    <w:rsid w:val="6FC767EC"/>
    <w:rsid w:val="6FC82564"/>
    <w:rsid w:val="6FC860C0"/>
    <w:rsid w:val="6FCA008A"/>
    <w:rsid w:val="6FCA62DC"/>
    <w:rsid w:val="6FCC5BB0"/>
    <w:rsid w:val="6FCD1928"/>
    <w:rsid w:val="6FCF38F2"/>
    <w:rsid w:val="6FD131C7"/>
    <w:rsid w:val="6FD44A65"/>
    <w:rsid w:val="6FD607DD"/>
    <w:rsid w:val="6FD64C81"/>
    <w:rsid w:val="6FD809F9"/>
    <w:rsid w:val="6FD827A7"/>
    <w:rsid w:val="6FD902CD"/>
    <w:rsid w:val="6FDB225A"/>
    <w:rsid w:val="6FDB2297"/>
    <w:rsid w:val="6FDD7DBD"/>
    <w:rsid w:val="6FE0165C"/>
    <w:rsid w:val="6FE0340A"/>
    <w:rsid w:val="6FE27182"/>
    <w:rsid w:val="6FE54EC4"/>
    <w:rsid w:val="6FE61F3E"/>
    <w:rsid w:val="6FE62BA6"/>
    <w:rsid w:val="6FE74DA4"/>
    <w:rsid w:val="6FEA072C"/>
    <w:rsid w:val="6FEA08BF"/>
    <w:rsid w:val="6FEA2098"/>
    <w:rsid w:val="6FEC5DB0"/>
    <w:rsid w:val="6FEC6252"/>
    <w:rsid w:val="6FF13869"/>
    <w:rsid w:val="6FF23135"/>
    <w:rsid w:val="6FF2313D"/>
    <w:rsid w:val="6FF35ABE"/>
    <w:rsid w:val="6FF62C2D"/>
    <w:rsid w:val="6FF670D1"/>
    <w:rsid w:val="6FF869A5"/>
    <w:rsid w:val="6FFA660D"/>
    <w:rsid w:val="6FFB0243"/>
    <w:rsid w:val="6FFB6495"/>
    <w:rsid w:val="6FFD3FBC"/>
    <w:rsid w:val="6FFE3CE6"/>
    <w:rsid w:val="6FFE7D34"/>
    <w:rsid w:val="70001CFE"/>
    <w:rsid w:val="70003AAC"/>
    <w:rsid w:val="7000585A"/>
    <w:rsid w:val="70025A76"/>
    <w:rsid w:val="700417EE"/>
    <w:rsid w:val="70074E3A"/>
    <w:rsid w:val="70082960"/>
    <w:rsid w:val="700A0487"/>
    <w:rsid w:val="700C06A3"/>
    <w:rsid w:val="700C6678"/>
    <w:rsid w:val="700D682A"/>
    <w:rsid w:val="700F1F41"/>
    <w:rsid w:val="70147557"/>
    <w:rsid w:val="7016644C"/>
    <w:rsid w:val="70187047"/>
    <w:rsid w:val="701A10CE"/>
    <w:rsid w:val="701D01BA"/>
    <w:rsid w:val="701D640C"/>
    <w:rsid w:val="701E2184"/>
    <w:rsid w:val="70205EFC"/>
    <w:rsid w:val="70227EC6"/>
    <w:rsid w:val="70251764"/>
    <w:rsid w:val="702575A7"/>
    <w:rsid w:val="702A6D7B"/>
    <w:rsid w:val="702C0672"/>
    <w:rsid w:val="70310109"/>
    <w:rsid w:val="70335974"/>
    <w:rsid w:val="70336E04"/>
    <w:rsid w:val="70357BF9"/>
    <w:rsid w:val="7036571F"/>
    <w:rsid w:val="70381498"/>
    <w:rsid w:val="703A3875"/>
    <w:rsid w:val="703D085C"/>
    <w:rsid w:val="703D260A"/>
    <w:rsid w:val="703D6AAE"/>
    <w:rsid w:val="703F2826"/>
    <w:rsid w:val="704020FA"/>
    <w:rsid w:val="7040659E"/>
    <w:rsid w:val="70441BEA"/>
    <w:rsid w:val="70455963"/>
    <w:rsid w:val="70480FAF"/>
    <w:rsid w:val="70497201"/>
    <w:rsid w:val="704E2A69"/>
    <w:rsid w:val="704E4817"/>
    <w:rsid w:val="7053007F"/>
    <w:rsid w:val="705363EE"/>
    <w:rsid w:val="705426F3"/>
    <w:rsid w:val="7055204A"/>
    <w:rsid w:val="70553DF8"/>
    <w:rsid w:val="70585696"/>
    <w:rsid w:val="705B5186"/>
    <w:rsid w:val="705D77DA"/>
    <w:rsid w:val="705F6A24"/>
    <w:rsid w:val="70620C69"/>
    <w:rsid w:val="70645DE9"/>
    <w:rsid w:val="70691651"/>
    <w:rsid w:val="706978A3"/>
    <w:rsid w:val="706C7393"/>
    <w:rsid w:val="706E6C67"/>
    <w:rsid w:val="706F478E"/>
    <w:rsid w:val="70726E22"/>
    <w:rsid w:val="70772C18"/>
    <w:rsid w:val="70787AE6"/>
    <w:rsid w:val="707B75D6"/>
    <w:rsid w:val="707F0E75"/>
    <w:rsid w:val="707F2C23"/>
    <w:rsid w:val="70820965"/>
    <w:rsid w:val="70833D8C"/>
    <w:rsid w:val="708404D0"/>
    <w:rsid w:val="7084648B"/>
    <w:rsid w:val="708615C5"/>
    <w:rsid w:val="708741CD"/>
    <w:rsid w:val="70875F7B"/>
    <w:rsid w:val="70891CF3"/>
    <w:rsid w:val="70893AA1"/>
    <w:rsid w:val="7089584F"/>
    <w:rsid w:val="708B3C5F"/>
    <w:rsid w:val="708B5A6B"/>
    <w:rsid w:val="708B7819"/>
    <w:rsid w:val="708C3591"/>
    <w:rsid w:val="70904E30"/>
    <w:rsid w:val="70904F00"/>
    <w:rsid w:val="70905608"/>
    <w:rsid w:val="70932B72"/>
    <w:rsid w:val="70950698"/>
    <w:rsid w:val="70967F6C"/>
    <w:rsid w:val="70972202"/>
    <w:rsid w:val="70980188"/>
    <w:rsid w:val="70983692"/>
    <w:rsid w:val="709A07CC"/>
    <w:rsid w:val="709A3F00"/>
    <w:rsid w:val="709A5CAE"/>
    <w:rsid w:val="709C4BE4"/>
    <w:rsid w:val="709D54EB"/>
    <w:rsid w:val="709D579F"/>
    <w:rsid w:val="709F1517"/>
    <w:rsid w:val="70A42689"/>
    <w:rsid w:val="70A46B2D"/>
    <w:rsid w:val="70A703CB"/>
    <w:rsid w:val="70A71CF7"/>
    <w:rsid w:val="70A73F27"/>
    <w:rsid w:val="70AB010C"/>
    <w:rsid w:val="70AB06C0"/>
    <w:rsid w:val="70AB1C6A"/>
    <w:rsid w:val="70AB7EBB"/>
    <w:rsid w:val="70AC019F"/>
    <w:rsid w:val="70AE175A"/>
    <w:rsid w:val="70AF6D48"/>
    <w:rsid w:val="70B07280"/>
    <w:rsid w:val="70B328CC"/>
    <w:rsid w:val="70B42BBA"/>
    <w:rsid w:val="70B623BC"/>
    <w:rsid w:val="70B7060E"/>
    <w:rsid w:val="70B76860"/>
    <w:rsid w:val="70BA3C5B"/>
    <w:rsid w:val="70BB79D3"/>
    <w:rsid w:val="70BE7F7D"/>
    <w:rsid w:val="70C1148D"/>
    <w:rsid w:val="70C71D41"/>
    <w:rsid w:val="70C920F0"/>
    <w:rsid w:val="70CB230C"/>
    <w:rsid w:val="70CB40BA"/>
    <w:rsid w:val="70CD22D0"/>
    <w:rsid w:val="70CD7E32"/>
    <w:rsid w:val="70CE7706"/>
    <w:rsid w:val="70CF74E9"/>
    <w:rsid w:val="70D0347E"/>
    <w:rsid w:val="70D32F6E"/>
    <w:rsid w:val="70D62946"/>
    <w:rsid w:val="70DA42FD"/>
    <w:rsid w:val="70DA6015"/>
    <w:rsid w:val="70DE203F"/>
    <w:rsid w:val="70DE2451"/>
    <w:rsid w:val="70E21403"/>
    <w:rsid w:val="70E64A50"/>
    <w:rsid w:val="70EB650A"/>
    <w:rsid w:val="70ED2282"/>
    <w:rsid w:val="70ED2C38"/>
    <w:rsid w:val="70F03B20"/>
    <w:rsid w:val="70F3572C"/>
    <w:rsid w:val="70F51137"/>
    <w:rsid w:val="70F73101"/>
    <w:rsid w:val="70F76C5D"/>
    <w:rsid w:val="70F84783"/>
    <w:rsid w:val="70FA04FB"/>
    <w:rsid w:val="70FC0717"/>
    <w:rsid w:val="70FC24C5"/>
    <w:rsid w:val="70FC7F1F"/>
    <w:rsid w:val="70FE448F"/>
    <w:rsid w:val="71003969"/>
    <w:rsid w:val="71015D2D"/>
    <w:rsid w:val="71025602"/>
    <w:rsid w:val="71033854"/>
    <w:rsid w:val="710413BD"/>
    <w:rsid w:val="71045053"/>
    <w:rsid w:val="710650F2"/>
    <w:rsid w:val="71072C18"/>
    <w:rsid w:val="71080E6A"/>
    <w:rsid w:val="710870BC"/>
    <w:rsid w:val="710B095A"/>
    <w:rsid w:val="710C62D3"/>
    <w:rsid w:val="710E21F8"/>
    <w:rsid w:val="710E6863"/>
    <w:rsid w:val="710F02FA"/>
    <w:rsid w:val="710F044A"/>
    <w:rsid w:val="71105F71"/>
    <w:rsid w:val="711060E4"/>
    <w:rsid w:val="71107D1F"/>
    <w:rsid w:val="711315BD"/>
    <w:rsid w:val="71152CAD"/>
    <w:rsid w:val="71186BD3"/>
    <w:rsid w:val="71194149"/>
    <w:rsid w:val="711A294B"/>
    <w:rsid w:val="711A6DEF"/>
    <w:rsid w:val="711C4389"/>
    <w:rsid w:val="711D41EA"/>
    <w:rsid w:val="711F4406"/>
    <w:rsid w:val="7121131A"/>
    <w:rsid w:val="71235CA4"/>
    <w:rsid w:val="71237A52"/>
    <w:rsid w:val="712437CA"/>
    <w:rsid w:val="71267542"/>
    <w:rsid w:val="7127461C"/>
    <w:rsid w:val="712832BA"/>
    <w:rsid w:val="712A66B5"/>
    <w:rsid w:val="712B2DAA"/>
    <w:rsid w:val="712D267F"/>
    <w:rsid w:val="712D6B22"/>
    <w:rsid w:val="712E4649"/>
    <w:rsid w:val="712E50BB"/>
    <w:rsid w:val="712F289B"/>
    <w:rsid w:val="712F2B8A"/>
    <w:rsid w:val="713003C1"/>
    <w:rsid w:val="713036D2"/>
    <w:rsid w:val="71316B5E"/>
    <w:rsid w:val="71324139"/>
    <w:rsid w:val="71347EB1"/>
    <w:rsid w:val="7135696F"/>
    <w:rsid w:val="713752AB"/>
    <w:rsid w:val="71375440"/>
    <w:rsid w:val="71383DDC"/>
    <w:rsid w:val="713A4D9B"/>
    <w:rsid w:val="713C3C71"/>
    <w:rsid w:val="713C6D66"/>
    <w:rsid w:val="713E7A0C"/>
    <w:rsid w:val="713F23B2"/>
    <w:rsid w:val="713F6856"/>
    <w:rsid w:val="7141437C"/>
    <w:rsid w:val="714317DD"/>
    <w:rsid w:val="71443B44"/>
    <w:rsid w:val="714479C8"/>
    <w:rsid w:val="714678F4"/>
    <w:rsid w:val="71467BE4"/>
    <w:rsid w:val="71483955"/>
    <w:rsid w:val="7148570A"/>
    <w:rsid w:val="714B0D57"/>
    <w:rsid w:val="714B51FB"/>
    <w:rsid w:val="714B6FA9"/>
    <w:rsid w:val="714D4ACF"/>
    <w:rsid w:val="714E77C7"/>
    <w:rsid w:val="715220E5"/>
    <w:rsid w:val="715275D8"/>
    <w:rsid w:val="71535E5D"/>
    <w:rsid w:val="7157594D"/>
    <w:rsid w:val="715916C6"/>
    <w:rsid w:val="71593474"/>
    <w:rsid w:val="715968EE"/>
    <w:rsid w:val="715B3690"/>
    <w:rsid w:val="715C11B6"/>
    <w:rsid w:val="715C2F64"/>
    <w:rsid w:val="715C7408"/>
    <w:rsid w:val="715E4F2E"/>
    <w:rsid w:val="715F2A54"/>
    <w:rsid w:val="7164006A"/>
    <w:rsid w:val="71662034"/>
    <w:rsid w:val="71686571"/>
    <w:rsid w:val="7169742F"/>
    <w:rsid w:val="716B13F9"/>
    <w:rsid w:val="716B31A7"/>
    <w:rsid w:val="716D6F1F"/>
    <w:rsid w:val="716F0EE9"/>
    <w:rsid w:val="71704C61"/>
    <w:rsid w:val="71707F90"/>
    <w:rsid w:val="717209D9"/>
    <w:rsid w:val="71721018"/>
    <w:rsid w:val="71724535"/>
    <w:rsid w:val="71744751"/>
    <w:rsid w:val="71791D68"/>
    <w:rsid w:val="717C53B4"/>
    <w:rsid w:val="717E0E45"/>
    <w:rsid w:val="717E2EDA"/>
    <w:rsid w:val="717F6C52"/>
    <w:rsid w:val="718129CA"/>
    <w:rsid w:val="71816E6E"/>
    <w:rsid w:val="718524BB"/>
    <w:rsid w:val="7187709C"/>
    <w:rsid w:val="718814E9"/>
    <w:rsid w:val="718B55F7"/>
    <w:rsid w:val="718D75C1"/>
    <w:rsid w:val="718F14DF"/>
    <w:rsid w:val="718F158B"/>
    <w:rsid w:val="718F6E95"/>
    <w:rsid w:val="71924BD7"/>
    <w:rsid w:val="71926986"/>
    <w:rsid w:val="71946BA2"/>
    <w:rsid w:val="719551E8"/>
    <w:rsid w:val="71956476"/>
    <w:rsid w:val="71970440"/>
    <w:rsid w:val="719721EE"/>
    <w:rsid w:val="71973F9C"/>
    <w:rsid w:val="71995F66"/>
    <w:rsid w:val="71997D14"/>
    <w:rsid w:val="719B7F30"/>
    <w:rsid w:val="719C7804"/>
    <w:rsid w:val="719D6674"/>
    <w:rsid w:val="719E357C"/>
    <w:rsid w:val="71A010A2"/>
    <w:rsid w:val="71A072F4"/>
    <w:rsid w:val="71A14E1B"/>
    <w:rsid w:val="71A16BC9"/>
    <w:rsid w:val="71A44F5F"/>
    <w:rsid w:val="71A5490B"/>
    <w:rsid w:val="71A62431"/>
    <w:rsid w:val="71A861A9"/>
    <w:rsid w:val="71AA1F21"/>
    <w:rsid w:val="71AE3B50"/>
    <w:rsid w:val="71AF7537"/>
    <w:rsid w:val="71B05423"/>
    <w:rsid w:val="71B44B4E"/>
    <w:rsid w:val="71B66B18"/>
    <w:rsid w:val="71BB2380"/>
    <w:rsid w:val="71BB5EDC"/>
    <w:rsid w:val="71BF04AE"/>
    <w:rsid w:val="71C034F3"/>
    <w:rsid w:val="71C1726B"/>
    <w:rsid w:val="71C31235"/>
    <w:rsid w:val="71C50B09"/>
    <w:rsid w:val="71C54538"/>
    <w:rsid w:val="71C70D25"/>
    <w:rsid w:val="71C7160D"/>
    <w:rsid w:val="71C72AD3"/>
    <w:rsid w:val="71C823A7"/>
    <w:rsid w:val="71CA0B9B"/>
    <w:rsid w:val="71CA611F"/>
    <w:rsid w:val="71CB3965"/>
    <w:rsid w:val="71CC633B"/>
    <w:rsid w:val="71CD20B4"/>
    <w:rsid w:val="71D01526"/>
    <w:rsid w:val="71D074AE"/>
    <w:rsid w:val="71D21478"/>
    <w:rsid w:val="71D451F0"/>
    <w:rsid w:val="71D46F9E"/>
    <w:rsid w:val="71D84CE0"/>
    <w:rsid w:val="71D85D70"/>
    <w:rsid w:val="71D8718B"/>
    <w:rsid w:val="71D92806"/>
    <w:rsid w:val="71DC4440"/>
    <w:rsid w:val="71DE0782"/>
    <w:rsid w:val="71E048F6"/>
    <w:rsid w:val="71E3257D"/>
    <w:rsid w:val="71E5266B"/>
    <w:rsid w:val="71E573FD"/>
    <w:rsid w:val="71E60A7F"/>
    <w:rsid w:val="71E80C9B"/>
    <w:rsid w:val="71E847F7"/>
    <w:rsid w:val="71EA0570"/>
    <w:rsid w:val="71EB2AA5"/>
    <w:rsid w:val="71ED0060"/>
    <w:rsid w:val="71ED1E0E"/>
    <w:rsid w:val="71ED62B2"/>
    <w:rsid w:val="71ED6B06"/>
    <w:rsid w:val="71EF202A"/>
    <w:rsid w:val="71F118FE"/>
    <w:rsid w:val="71F17B50"/>
    <w:rsid w:val="71F238C8"/>
    <w:rsid w:val="71F633B8"/>
    <w:rsid w:val="71F907B3"/>
    <w:rsid w:val="71F92EA9"/>
    <w:rsid w:val="71F950A9"/>
    <w:rsid w:val="71F96A05"/>
    <w:rsid w:val="71FB277D"/>
    <w:rsid w:val="71FE04BF"/>
    <w:rsid w:val="71FE1F10"/>
    <w:rsid w:val="71FE226D"/>
    <w:rsid w:val="72001B41"/>
    <w:rsid w:val="72007D93"/>
    <w:rsid w:val="72023B0B"/>
    <w:rsid w:val="72035AD5"/>
    <w:rsid w:val="72037883"/>
    <w:rsid w:val="7205184D"/>
    <w:rsid w:val="72062ED0"/>
    <w:rsid w:val="72086C48"/>
    <w:rsid w:val="72095D23"/>
    <w:rsid w:val="720A6E64"/>
    <w:rsid w:val="720B10AE"/>
    <w:rsid w:val="720C2BDC"/>
    <w:rsid w:val="720E0702"/>
    <w:rsid w:val="720F72CF"/>
    <w:rsid w:val="721101F2"/>
    <w:rsid w:val="72111FA0"/>
    <w:rsid w:val="72115F01"/>
    <w:rsid w:val="72135D18"/>
    <w:rsid w:val="72141A90"/>
    <w:rsid w:val="72161365"/>
    <w:rsid w:val="72165809"/>
    <w:rsid w:val="72172A68"/>
    <w:rsid w:val="72181581"/>
    <w:rsid w:val="721E646B"/>
    <w:rsid w:val="721F6E5B"/>
    <w:rsid w:val="722021E3"/>
    <w:rsid w:val="722241AD"/>
    <w:rsid w:val="72233A82"/>
    <w:rsid w:val="72253C9E"/>
    <w:rsid w:val="722717C4"/>
    <w:rsid w:val="722B2DE0"/>
    <w:rsid w:val="722C0B88"/>
    <w:rsid w:val="722D66AE"/>
    <w:rsid w:val="722F2426"/>
    <w:rsid w:val="72312642"/>
    <w:rsid w:val="723143F0"/>
    <w:rsid w:val="72314BDB"/>
    <w:rsid w:val="72331F17"/>
    <w:rsid w:val="7234326E"/>
    <w:rsid w:val="72345C8F"/>
    <w:rsid w:val="72347A3D"/>
    <w:rsid w:val="72367C59"/>
    <w:rsid w:val="723932A5"/>
    <w:rsid w:val="723B701D"/>
    <w:rsid w:val="723E08BB"/>
    <w:rsid w:val="723E4F1D"/>
    <w:rsid w:val="723F0BF3"/>
    <w:rsid w:val="723F6B0D"/>
    <w:rsid w:val="724063E2"/>
    <w:rsid w:val="72440D8F"/>
    <w:rsid w:val="724539F8"/>
    <w:rsid w:val="72473C14"/>
    <w:rsid w:val="724759C2"/>
    <w:rsid w:val="7249173A"/>
    <w:rsid w:val="72495CF8"/>
    <w:rsid w:val="7249798C"/>
    <w:rsid w:val="724A3704"/>
    <w:rsid w:val="724E32D1"/>
    <w:rsid w:val="724F4877"/>
    <w:rsid w:val="725105EF"/>
    <w:rsid w:val="725325B9"/>
    <w:rsid w:val="72541E8D"/>
    <w:rsid w:val="72563E57"/>
    <w:rsid w:val="72570A0E"/>
    <w:rsid w:val="72587BCF"/>
    <w:rsid w:val="725974A3"/>
    <w:rsid w:val="725A6797"/>
    <w:rsid w:val="725D1936"/>
    <w:rsid w:val="725F0F5E"/>
    <w:rsid w:val="72621C35"/>
    <w:rsid w:val="72640322"/>
    <w:rsid w:val="72646574"/>
    <w:rsid w:val="726A345E"/>
    <w:rsid w:val="726A7902"/>
    <w:rsid w:val="726C53CA"/>
    <w:rsid w:val="726C71D7"/>
    <w:rsid w:val="726F2713"/>
    <w:rsid w:val="727147ED"/>
    <w:rsid w:val="72721ECF"/>
    <w:rsid w:val="72730565"/>
    <w:rsid w:val="72734A09"/>
    <w:rsid w:val="72760055"/>
    <w:rsid w:val="7278201F"/>
    <w:rsid w:val="727918F3"/>
    <w:rsid w:val="727A5D97"/>
    <w:rsid w:val="727B1B10"/>
    <w:rsid w:val="727B566C"/>
    <w:rsid w:val="727C377E"/>
    <w:rsid w:val="727E0C6F"/>
    <w:rsid w:val="727E484F"/>
    <w:rsid w:val="72800ED4"/>
    <w:rsid w:val="72842772"/>
    <w:rsid w:val="728470A0"/>
    <w:rsid w:val="728564EA"/>
    <w:rsid w:val="72895FDA"/>
    <w:rsid w:val="728A091C"/>
    <w:rsid w:val="728E539F"/>
    <w:rsid w:val="728F1117"/>
    <w:rsid w:val="72914E8F"/>
    <w:rsid w:val="72930C07"/>
    <w:rsid w:val="72936E59"/>
    <w:rsid w:val="7295497F"/>
    <w:rsid w:val="72972779"/>
    <w:rsid w:val="7298621E"/>
    <w:rsid w:val="72987FCC"/>
    <w:rsid w:val="729A1F96"/>
    <w:rsid w:val="729A7263"/>
    <w:rsid w:val="729B5D0E"/>
    <w:rsid w:val="729D1A86"/>
    <w:rsid w:val="729F57FE"/>
    <w:rsid w:val="72A050D2"/>
    <w:rsid w:val="72A11576"/>
    <w:rsid w:val="72A44BC2"/>
    <w:rsid w:val="72A5093A"/>
    <w:rsid w:val="72A669EB"/>
    <w:rsid w:val="72A9042B"/>
    <w:rsid w:val="72AC7F1B"/>
    <w:rsid w:val="72AE5A41"/>
    <w:rsid w:val="72B017B9"/>
    <w:rsid w:val="72B1108D"/>
    <w:rsid w:val="72B20C5A"/>
    <w:rsid w:val="72B27B5F"/>
    <w:rsid w:val="72B62B48"/>
    <w:rsid w:val="72B92290"/>
    <w:rsid w:val="72BA43E6"/>
    <w:rsid w:val="72BA62F1"/>
    <w:rsid w:val="72BF19FC"/>
    <w:rsid w:val="72BF37AA"/>
    <w:rsid w:val="72C45265"/>
    <w:rsid w:val="72C53404"/>
    <w:rsid w:val="72C74D55"/>
    <w:rsid w:val="72C9287B"/>
    <w:rsid w:val="72C93215"/>
    <w:rsid w:val="72C94629"/>
    <w:rsid w:val="72CA214F"/>
    <w:rsid w:val="72CC236B"/>
    <w:rsid w:val="72CC5EC7"/>
    <w:rsid w:val="72CD6775"/>
    <w:rsid w:val="72CE60E3"/>
    <w:rsid w:val="72D01C58"/>
    <w:rsid w:val="72D130E8"/>
    <w:rsid w:val="72D27981"/>
    <w:rsid w:val="72D354A8"/>
    <w:rsid w:val="72D51220"/>
    <w:rsid w:val="72D66D46"/>
    <w:rsid w:val="72D76034"/>
    <w:rsid w:val="72D8187A"/>
    <w:rsid w:val="72D82ABE"/>
    <w:rsid w:val="72DA6836"/>
    <w:rsid w:val="72DB610A"/>
    <w:rsid w:val="72DC01FB"/>
    <w:rsid w:val="72DD1E82"/>
    <w:rsid w:val="72DD3BC2"/>
    <w:rsid w:val="72DF5BFA"/>
    <w:rsid w:val="72E01973"/>
    <w:rsid w:val="72E476B5"/>
    <w:rsid w:val="72E66F89"/>
    <w:rsid w:val="72E71732"/>
    <w:rsid w:val="72E90827"/>
    <w:rsid w:val="72E96A79"/>
    <w:rsid w:val="72EB0A43"/>
    <w:rsid w:val="72EC65AF"/>
    <w:rsid w:val="72EF6671"/>
    <w:rsid w:val="72F13B80"/>
    <w:rsid w:val="72F1592E"/>
    <w:rsid w:val="72F21DD2"/>
    <w:rsid w:val="72F316A6"/>
    <w:rsid w:val="72F378F8"/>
    <w:rsid w:val="72F53670"/>
    <w:rsid w:val="72F5541E"/>
    <w:rsid w:val="72F65D2C"/>
    <w:rsid w:val="72FB055A"/>
    <w:rsid w:val="72FD2525"/>
    <w:rsid w:val="72FD6EED"/>
    <w:rsid w:val="72FE1BF5"/>
    <w:rsid w:val="72FF004B"/>
    <w:rsid w:val="73010267"/>
    <w:rsid w:val="730218E9"/>
    <w:rsid w:val="73041B05"/>
    <w:rsid w:val="730438B3"/>
    <w:rsid w:val="7306762B"/>
    <w:rsid w:val="73076EFF"/>
    <w:rsid w:val="73090EC9"/>
    <w:rsid w:val="730B2E93"/>
    <w:rsid w:val="730B69EF"/>
    <w:rsid w:val="730E028E"/>
    <w:rsid w:val="73102258"/>
    <w:rsid w:val="73107C5C"/>
    <w:rsid w:val="73133AF6"/>
    <w:rsid w:val="73133FCC"/>
    <w:rsid w:val="73146935"/>
    <w:rsid w:val="7315161C"/>
    <w:rsid w:val="73171838"/>
    <w:rsid w:val="7318735E"/>
    <w:rsid w:val="731955B0"/>
    <w:rsid w:val="731A30D6"/>
    <w:rsid w:val="731A4E85"/>
    <w:rsid w:val="731C29AB"/>
    <w:rsid w:val="731F249B"/>
    <w:rsid w:val="73207674"/>
    <w:rsid w:val="73221F8B"/>
    <w:rsid w:val="73222073"/>
    <w:rsid w:val="73235862"/>
    <w:rsid w:val="73252FF8"/>
    <w:rsid w:val="73261A7B"/>
    <w:rsid w:val="73267CCD"/>
    <w:rsid w:val="732B0E40"/>
    <w:rsid w:val="732D105C"/>
    <w:rsid w:val="732D4BB8"/>
    <w:rsid w:val="732E0930"/>
    <w:rsid w:val="732E3907"/>
    <w:rsid w:val="732E6B82"/>
    <w:rsid w:val="73306456"/>
    <w:rsid w:val="73321515"/>
    <w:rsid w:val="73326672"/>
    <w:rsid w:val="73337CF4"/>
    <w:rsid w:val="73351CBE"/>
    <w:rsid w:val="73372296"/>
    <w:rsid w:val="73373C88"/>
    <w:rsid w:val="733817AF"/>
    <w:rsid w:val="733A1083"/>
    <w:rsid w:val="733B20A7"/>
    <w:rsid w:val="733D0B73"/>
    <w:rsid w:val="733F2B3D"/>
    <w:rsid w:val="733F48EB"/>
    <w:rsid w:val="733F6699"/>
    <w:rsid w:val="73410663"/>
    <w:rsid w:val="73465C7A"/>
    <w:rsid w:val="7349576A"/>
    <w:rsid w:val="734B14E2"/>
    <w:rsid w:val="734B2FC2"/>
    <w:rsid w:val="734C0DB6"/>
    <w:rsid w:val="734E2D80"/>
    <w:rsid w:val="734F0FD2"/>
    <w:rsid w:val="73522870"/>
    <w:rsid w:val="7352539E"/>
    <w:rsid w:val="73577E87"/>
    <w:rsid w:val="73586710"/>
    <w:rsid w:val="735A34D3"/>
    <w:rsid w:val="735C724B"/>
    <w:rsid w:val="73614861"/>
    <w:rsid w:val="736305DA"/>
    <w:rsid w:val="73644352"/>
    <w:rsid w:val="73685BF0"/>
    <w:rsid w:val="7368690E"/>
    <w:rsid w:val="73697BBA"/>
    <w:rsid w:val="73730DA8"/>
    <w:rsid w:val="73734595"/>
    <w:rsid w:val="7375030D"/>
    <w:rsid w:val="737547B1"/>
    <w:rsid w:val="7379604F"/>
    <w:rsid w:val="737A34D9"/>
    <w:rsid w:val="737A5923"/>
    <w:rsid w:val="738007DB"/>
    <w:rsid w:val="738238D4"/>
    <w:rsid w:val="73840550"/>
    <w:rsid w:val="738467A2"/>
    <w:rsid w:val="73846894"/>
    <w:rsid w:val="738505EC"/>
    <w:rsid w:val="738549F4"/>
    <w:rsid w:val="7386076C"/>
    <w:rsid w:val="73886292"/>
    <w:rsid w:val="738A025C"/>
    <w:rsid w:val="738B18DE"/>
    <w:rsid w:val="738D5656"/>
    <w:rsid w:val="738E13CF"/>
    <w:rsid w:val="738E2DDF"/>
    <w:rsid w:val="738E466E"/>
    <w:rsid w:val="738F426F"/>
    <w:rsid w:val="739065EB"/>
    <w:rsid w:val="73922C6D"/>
    <w:rsid w:val="73966C01"/>
    <w:rsid w:val="73986A62"/>
    <w:rsid w:val="739A5FC5"/>
    <w:rsid w:val="739A7D73"/>
    <w:rsid w:val="739E1612"/>
    <w:rsid w:val="739E5AB6"/>
    <w:rsid w:val="739E7864"/>
    <w:rsid w:val="73A0182E"/>
    <w:rsid w:val="73A17354"/>
    <w:rsid w:val="73A56E44"/>
    <w:rsid w:val="73A6496A"/>
    <w:rsid w:val="73A86557"/>
    <w:rsid w:val="73AA26AC"/>
    <w:rsid w:val="73AA306E"/>
    <w:rsid w:val="73AB1F81"/>
    <w:rsid w:val="73AD0F38"/>
    <w:rsid w:val="73AD7AA7"/>
    <w:rsid w:val="73AF3858"/>
    <w:rsid w:val="73B61051"/>
    <w:rsid w:val="73B726D3"/>
    <w:rsid w:val="73B76B77"/>
    <w:rsid w:val="73BB6668"/>
    <w:rsid w:val="73BE3A62"/>
    <w:rsid w:val="73BE506A"/>
    <w:rsid w:val="73BF3A31"/>
    <w:rsid w:val="73BF77DA"/>
    <w:rsid w:val="73C179F6"/>
    <w:rsid w:val="73C22DCA"/>
    <w:rsid w:val="73C372CA"/>
    <w:rsid w:val="73C44DF0"/>
    <w:rsid w:val="73C4767E"/>
    <w:rsid w:val="73C51294"/>
    <w:rsid w:val="73C53042"/>
    <w:rsid w:val="73C60B68"/>
    <w:rsid w:val="73C66DBA"/>
    <w:rsid w:val="73C80D84"/>
    <w:rsid w:val="73C848E1"/>
    <w:rsid w:val="73CA0659"/>
    <w:rsid w:val="73CF67B0"/>
    <w:rsid w:val="73D019E7"/>
    <w:rsid w:val="73D47EC5"/>
    <w:rsid w:val="73D56FFD"/>
    <w:rsid w:val="73D67E93"/>
    <w:rsid w:val="73D74B24"/>
    <w:rsid w:val="73D94D40"/>
    <w:rsid w:val="73DB2875"/>
    <w:rsid w:val="73DD4830"/>
    <w:rsid w:val="73DE5EB2"/>
    <w:rsid w:val="73E13BF4"/>
    <w:rsid w:val="73E55634"/>
    <w:rsid w:val="73E57241"/>
    <w:rsid w:val="73E630B6"/>
    <w:rsid w:val="73E7745D"/>
    <w:rsid w:val="73E84F83"/>
    <w:rsid w:val="73EB05CF"/>
    <w:rsid w:val="73EB6821"/>
    <w:rsid w:val="73ED07EB"/>
    <w:rsid w:val="73EF1E6D"/>
    <w:rsid w:val="73F13E37"/>
    <w:rsid w:val="73F531FC"/>
    <w:rsid w:val="73F6144E"/>
    <w:rsid w:val="73F73418"/>
    <w:rsid w:val="73FA42D5"/>
    <w:rsid w:val="73FE0302"/>
    <w:rsid w:val="73FE47A6"/>
    <w:rsid w:val="73FE6554"/>
    <w:rsid w:val="74031DBD"/>
    <w:rsid w:val="74051691"/>
    <w:rsid w:val="74057244"/>
    <w:rsid w:val="740578E3"/>
    <w:rsid w:val="740A6CA7"/>
    <w:rsid w:val="740B04E1"/>
    <w:rsid w:val="740C0C71"/>
    <w:rsid w:val="740C6EC3"/>
    <w:rsid w:val="740D2C3B"/>
    <w:rsid w:val="740D6797"/>
    <w:rsid w:val="741144D9"/>
    <w:rsid w:val="74122000"/>
    <w:rsid w:val="74141576"/>
    <w:rsid w:val="74143FCA"/>
    <w:rsid w:val="741713C4"/>
    <w:rsid w:val="741B0EB4"/>
    <w:rsid w:val="741B2C62"/>
    <w:rsid w:val="741B7106"/>
    <w:rsid w:val="741C69DA"/>
    <w:rsid w:val="741D712A"/>
    <w:rsid w:val="741E09A4"/>
    <w:rsid w:val="7422738B"/>
    <w:rsid w:val="7426061C"/>
    <w:rsid w:val="74271B48"/>
    <w:rsid w:val="74275AAB"/>
    <w:rsid w:val="7428537F"/>
    <w:rsid w:val="742859A7"/>
    <w:rsid w:val="742A7349"/>
    <w:rsid w:val="74306A23"/>
    <w:rsid w:val="74312486"/>
    <w:rsid w:val="7431692A"/>
    <w:rsid w:val="74343D24"/>
    <w:rsid w:val="74344CDC"/>
    <w:rsid w:val="74363F40"/>
    <w:rsid w:val="74365CEE"/>
    <w:rsid w:val="74381A66"/>
    <w:rsid w:val="743957DE"/>
    <w:rsid w:val="7439758C"/>
    <w:rsid w:val="743D1831"/>
    <w:rsid w:val="743E1047"/>
    <w:rsid w:val="74416441"/>
    <w:rsid w:val="7442796E"/>
    <w:rsid w:val="74461834"/>
    <w:rsid w:val="74471CA9"/>
    <w:rsid w:val="74475895"/>
    <w:rsid w:val="74477EFB"/>
    <w:rsid w:val="74485A21"/>
    <w:rsid w:val="74493C73"/>
    <w:rsid w:val="744A1799"/>
    <w:rsid w:val="744A79EB"/>
    <w:rsid w:val="744C5512"/>
    <w:rsid w:val="744D3038"/>
    <w:rsid w:val="744E5768"/>
    <w:rsid w:val="744F0B5E"/>
    <w:rsid w:val="74513E69"/>
    <w:rsid w:val="745148D6"/>
    <w:rsid w:val="7452064E"/>
    <w:rsid w:val="745368A0"/>
    <w:rsid w:val="74546174"/>
    <w:rsid w:val="74566390"/>
    <w:rsid w:val="745A5E80"/>
    <w:rsid w:val="745B7503"/>
    <w:rsid w:val="745C1EFA"/>
    <w:rsid w:val="745D11FC"/>
    <w:rsid w:val="745D6D46"/>
    <w:rsid w:val="745F3497"/>
    <w:rsid w:val="74624D35"/>
    <w:rsid w:val="746278CC"/>
    <w:rsid w:val="74634609"/>
    <w:rsid w:val="74640AAD"/>
    <w:rsid w:val="74656037"/>
    <w:rsid w:val="746565D3"/>
    <w:rsid w:val="74685100"/>
    <w:rsid w:val="746C1710"/>
    <w:rsid w:val="746C5BB4"/>
    <w:rsid w:val="746D040B"/>
    <w:rsid w:val="746E36DA"/>
    <w:rsid w:val="746F7452"/>
    <w:rsid w:val="74700A43"/>
    <w:rsid w:val="74716D26"/>
    <w:rsid w:val="74732A9E"/>
    <w:rsid w:val="747607E0"/>
    <w:rsid w:val="74784559"/>
    <w:rsid w:val="7479207F"/>
    <w:rsid w:val="74795BDB"/>
    <w:rsid w:val="747D56CB"/>
    <w:rsid w:val="747F7695"/>
    <w:rsid w:val="74820F33"/>
    <w:rsid w:val="74827185"/>
    <w:rsid w:val="748317D6"/>
    <w:rsid w:val="74836A59"/>
    <w:rsid w:val="74844CAB"/>
    <w:rsid w:val="74850A24"/>
    <w:rsid w:val="748A603A"/>
    <w:rsid w:val="748A7DE8"/>
    <w:rsid w:val="748B16A9"/>
    <w:rsid w:val="748C0004"/>
    <w:rsid w:val="748C1DB2"/>
    <w:rsid w:val="748C2B39"/>
    <w:rsid w:val="748C3B60"/>
    <w:rsid w:val="748D7B19"/>
    <w:rsid w:val="748E7A56"/>
    <w:rsid w:val="748F1CC1"/>
    <w:rsid w:val="748F53FE"/>
    <w:rsid w:val="748F5B6C"/>
    <w:rsid w:val="7490551B"/>
    <w:rsid w:val="74911176"/>
    <w:rsid w:val="74936C9D"/>
    <w:rsid w:val="74956EB9"/>
    <w:rsid w:val="74962C31"/>
    <w:rsid w:val="7496678D"/>
    <w:rsid w:val="74996569"/>
    <w:rsid w:val="749B0247"/>
    <w:rsid w:val="749B1FF5"/>
    <w:rsid w:val="749D3FBF"/>
    <w:rsid w:val="749E3893"/>
    <w:rsid w:val="749E5641"/>
    <w:rsid w:val="74A27930"/>
    <w:rsid w:val="74A4534E"/>
    <w:rsid w:val="74A470FC"/>
    <w:rsid w:val="74A536E0"/>
    <w:rsid w:val="74A72748"/>
    <w:rsid w:val="74A92964"/>
    <w:rsid w:val="74AA2238"/>
    <w:rsid w:val="74AA60C2"/>
    <w:rsid w:val="74AC35B3"/>
    <w:rsid w:val="74AC4202"/>
    <w:rsid w:val="74AE1D28"/>
    <w:rsid w:val="74B15375"/>
    <w:rsid w:val="74B17A6A"/>
    <w:rsid w:val="74B35591"/>
    <w:rsid w:val="74B84955"/>
    <w:rsid w:val="74B86703"/>
    <w:rsid w:val="74BA06CD"/>
    <w:rsid w:val="74BB2697"/>
    <w:rsid w:val="74BB4445"/>
    <w:rsid w:val="74BD01BD"/>
    <w:rsid w:val="74BE1A94"/>
    <w:rsid w:val="74BE7A92"/>
    <w:rsid w:val="74C14349"/>
    <w:rsid w:val="74C24F8F"/>
    <w:rsid w:val="74C432FA"/>
    <w:rsid w:val="74C46AAD"/>
    <w:rsid w:val="74C652C4"/>
    <w:rsid w:val="74C74B98"/>
    <w:rsid w:val="74C96B62"/>
    <w:rsid w:val="74CC21AE"/>
    <w:rsid w:val="74CD402D"/>
    <w:rsid w:val="74CF1C9F"/>
    <w:rsid w:val="74D00AB5"/>
    <w:rsid w:val="74D06143"/>
    <w:rsid w:val="74D15A17"/>
    <w:rsid w:val="74D3178F"/>
    <w:rsid w:val="74D53759"/>
    <w:rsid w:val="74D6302D"/>
    <w:rsid w:val="74DB6895"/>
    <w:rsid w:val="74DC0DA6"/>
    <w:rsid w:val="74DD43BC"/>
    <w:rsid w:val="74DD616A"/>
    <w:rsid w:val="74DE3871"/>
    <w:rsid w:val="74DF0134"/>
    <w:rsid w:val="74E05C5A"/>
    <w:rsid w:val="74E102DB"/>
    <w:rsid w:val="74E120FE"/>
    <w:rsid w:val="74E25E76"/>
    <w:rsid w:val="74E307BA"/>
    <w:rsid w:val="74E514C2"/>
    <w:rsid w:val="74E67714"/>
    <w:rsid w:val="74E7348C"/>
    <w:rsid w:val="74E76FE8"/>
    <w:rsid w:val="74E90FB2"/>
    <w:rsid w:val="74E92D60"/>
    <w:rsid w:val="74EC0AA3"/>
    <w:rsid w:val="74EE65C9"/>
    <w:rsid w:val="74F00593"/>
    <w:rsid w:val="74F040EF"/>
    <w:rsid w:val="74F05C86"/>
    <w:rsid w:val="74F11C15"/>
    <w:rsid w:val="74F33BDF"/>
    <w:rsid w:val="74F5447D"/>
    <w:rsid w:val="74F55BA9"/>
    <w:rsid w:val="74F57957"/>
    <w:rsid w:val="74F636CF"/>
    <w:rsid w:val="74FD05BA"/>
    <w:rsid w:val="74FD4A5E"/>
    <w:rsid w:val="74FD4BA0"/>
    <w:rsid w:val="74FE2E5B"/>
    <w:rsid w:val="74FE790A"/>
    <w:rsid w:val="750117DC"/>
    <w:rsid w:val="7501454E"/>
    <w:rsid w:val="75022074"/>
    <w:rsid w:val="750340FC"/>
    <w:rsid w:val="75047B9A"/>
    <w:rsid w:val="75050D66"/>
    <w:rsid w:val="75071439"/>
    <w:rsid w:val="750758DC"/>
    <w:rsid w:val="75093403"/>
    <w:rsid w:val="750D68EF"/>
    <w:rsid w:val="750E0E19"/>
    <w:rsid w:val="750E5041"/>
    <w:rsid w:val="75104823"/>
    <w:rsid w:val="75120509"/>
    <w:rsid w:val="75136FA0"/>
    <w:rsid w:val="75151DA7"/>
    <w:rsid w:val="75153B55"/>
    <w:rsid w:val="75157FF9"/>
    <w:rsid w:val="75181898"/>
    <w:rsid w:val="75183646"/>
    <w:rsid w:val="751B4EE4"/>
    <w:rsid w:val="751D6EAE"/>
    <w:rsid w:val="751F6782"/>
    <w:rsid w:val="7521074C"/>
    <w:rsid w:val="752124FA"/>
    <w:rsid w:val="752161F5"/>
    <w:rsid w:val="7521699E"/>
    <w:rsid w:val="752244C4"/>
    <w:rsid w:val="75260BD6"/>
    <w:rsid w:val="75263FB5"/>
    <w:rsid w:val="75265D63"/>
    <w:rsid w:val="75267B11"/>
    <w:rsid w:val="75273889"/>
    <w:rsid w:val="75295853"/>
    <w:rsid w:val="75297601"/>
    <w:rsid w:val="752B3379"/>
    <w:rsid w:val="752C70F1"/>
    <w:rsid w:val="752D5343"/>
    <w:rsid w:val="752E2E69"/>
    <w:rsid w:val="7530273D"/>
    <w:rsid w:val="75306BE1"/>
    <w:rsid w:val="75361B5B"/>
    <w:rsid w:val="75383CE8"/>
    <w:rsid w:val="753C37D8"/>
    <w:rsid w:val="753C5586"/>
    <w:rsid w:val="753F177D"/>
    <w:rsid w:val="753F6E24"/>
    <w:rsid w:val="75410DEE"/>
    <w:rsid w:val="754206C3"/>
    <w:rsid w:val="75436915"/>
    <w:rsid w:val="754601B3"/>
    <w:rsid w:val="7548217D"/>
    <w:rsid w:val="75491A51"/>
    <w:rsid w:val="754937FF"/>
    <w:rsid w:val="754B46EE"/>
    <w:rsid w:val="754B57C9"/>
    <w:rsid w:val="754C32EF"/>
    <w:rsid w:val="754D1541"/>
    <w:rsid w:val="754D7793"/>
    <w:rsid w:val="754E350B"/>
    <w:rsid w:val="75501031"/>
    <w:rsid w:val="75504B8E"/>
    <w:rsid w:val="75513B92"/>
    <w:rsid w:val="75524DAA"/>
    <w:rsid w:val="75526B58"/>
    <w:rsid w:val="75543C54"/>
    <w:rsid w:val="755509FA"/>
    <w:rsid w:val="75575F1C"/>
    <w:rsid w:val="755D72AA"/>
    <w:rsid w:val="755E374E"/>
    <w:rsid w:val="75610B49"/>
    <w:rsid w:val="75630D65"/>
    <w:rsid w:val="75660855"/>
    <w:rsid w:val="7568637B"/>
    <w:rsid w:val="756B7C19"/>
    <w:rsid w:val="756E5C8B"/>
    <w:rsid w:val="756E770A"/>
    <w:rsid w:val="75703482"/>
    <w:rsid w:val="75705230"/>
    <w:rsid w:val="75706FDE"/>
    <w:rsid w:val="75717B71"/>
    <w:rsid w:val="75750A98"/>
    <w:rsid w:val="75774810"/>
    <w:rsid w:val="757765BE"/>
    <w:rsid w:val="757840E4"/>
    <w:rsid w:val="75790588"/>
    <w:rsid w:val="757A1C0A"/>
    <w:rsid w:val="757E794D"/>
    <w:rsid w:val="757F36C5"/>
    <w:rsid w:val="75834F63"/>
    <w:rsid w:val="75842A89"/>
    <w:rsid w:val="75851341"/>
    <w:rsid w:val="75864A53"/>
    <w:rsid w:val="758B02BC"/>
    <w:rsid w:val="758B51B3"/>
    <w:rsid w:val="758D193E"/>
    <w:rsid w:val="758E56B6"/>
    <w:rsid w:val="75907680"/>
    <w:rsid w:val="7592164A"/>
    <w:rsid w:val="759251A6"/>
    <w:rsid w:val="75954C96"/>
    <w:rsid w:val="75986535"/>
    <w:rsid w:val="759929D8"/>
    <w:rsid w:val="759C6025"/>
    <w:rsid w:val="759F3BA6"/>
    <w:rsid w:val="75A0590A"/>
    <w:rsid w:val="75A137DC"/>
    <w:rsid w:val="75A35605"/>
    <w:rsid w:val="75A44ED9"/>
    <w:rsid w:val="75A5137D"/>
    <w:rsid w:val="75A629FF"/>
    <w:rsid w:val="75A82C1C"/>
    <w:rsid w:val="75AA1BCC"/>
    <w:rsid w:val="75AE004B"/>
    <w:rsid w:val="75B0387E"/>
    <w:rsid w:val="75B07D22"/>
    <w:rsid w:val="75B25848"/>
    <w:rsid w:val="75B46F90"/>
    <w:rsid w:val="75B74481"/>
    <w:rsid w:val="75B74537"/>
    <w:rsid w:val="75B94E29"/>
    <w:rsid w:val="75BA294F"/>
    <w:rsid w:val="75BA46FD"/>
    <w:rsid w:val="75BA64AB"/>
    <w:rsid w:val="75BC4F67"/>
    <w:rsid w:val="75BF1D13"/>
    <w:rsid w:val="75C15A8B"/>
    <w:rsid w:val="75C17839"/>
    <w:rsid w:val="75C42647"/>
    <w:rsid w:val="75C4732A"/>
    <w:rsid w:val="75C537CD"/>
    <w:rsid w:val="75C612F4"/>
    <w:rsid w:val="75C86896"/>
    <w:rsid w:val="75CA04F1"/>
    <w:rsid w:val="75CB1D81"/>
    <w:rsid w:val="75CC6B6B"/>
    <w:rsid w:val="75D2195C"/>
    <w:rsid w:val="75D532E5"/>
    <w:rsid w:val="75D562C9"/>
    <w:rsid w:val="75DA14E0"/>
    <w:rsid w:val="75DD76E0"/>
    <w:rsid w:val="75DE1077"/>
    <w:rsid w:val="75DE38D9"/>
    <w:rsid w:val="75DF0A95"/>
    <w:rsid w:val="75DF1F4C"/>
    <w:rsid w:val="75E33C54"/>
    <w:rsid w:val="75E34603"/>
    <w:rsid w:val="75E4177A"/>
    <w:rsid w:val="75E6724E"/>
    <w:rsid w:val="75E8126A"/>
    <w:rsid w:val="75EB2B08"/>
    <w:rsid w:val="75EC246C"/>
    <w:rsid w:val="75EF084A"/>
    <w:rsid w:val="75EF43A6"/>
    <w:rsid w:val="75F0011F"/>
    <w:rsid w:val="75F36C8C"/>
    <w:rsid w:val="75F45E61"/>
    <w:rsid w:val="75F61BD9"/>
    <w:rsid w:val="75F66D26"/>
    <w:rsid w:val="75F75951"/>
    <w:rsid w:val="75F81663"/>
    <w:rsid w:val="75FB0851"/>
    <w:rsid w:val="75FC2BB5"/>
    <w:rsid w:val="75FC6AF9"/>
    <w:rsid w:val="75FF6965"/>
    <w:rsid w:val="760065B4"/>
    <w:rsid w:val="760241F6"/>
    <w:rsid w:val="76045978"/>
    <w:rsid w:val="76051E1C"/>
    <w:rsid w:val="760616F0"/>
    <w:rsid w:val="760A11E0"/>
    <w:rsid w:val="760B4F58"/>
    <w:rsid w:val="760B6D06"/>
    <w:rsid w:val="760B7AD9"/>
    <w:rsid w:val="760D3B3A"/>
    <w:rsid w:val="76124DDB"/>
    <w:rsid w:val="761402B1"/>
    <w:rsid w:val="76143E0D"/>
    <w:rsid w:val="761476FB"/>
    <w:rsid w:val="76157B85"/>
    <w:rsid w:val="76165DD7"/>
    <w:rsid w:val="761738FD"/>
    <w:rsid w:val="761A613E"/>
    <w:rsid w:val="761E2EDE"/>
    <w:rsid w:val="761E6A3A"/>
    <w:rsid w:val="76200A04"/>
    <w:rsid w:val="762027B2"/>
    <w:rsid w:val="7621477C"/>
    <w:rsid w:val="7621652A"/>
    <w:rsid w:val="762248D0"/>
    <w:rsid w:val="76265996"/>
    <w:rsid w:val="762A53DF"/>
    <w:rsid w:val="762A7AD4"/>
    <w:rsid w:val="762D3121"/>
    <w:rsid w:val="76312C11"/>
    <w:rsid w:val="763224E5"/>
    <w:rsid w:val="76360227"/>
    <w:rsid w:val="76360A4C"/>
    <w:rsid w:val="76393874"/>
    <w:rsid w:val="763B3A90"/>
    <w:rsid w:val="763B583E"/>
    <w:rsid w:val="763D2621"/>
    <w:rsid w:val="76423EBA"/>
    <w:rsid w:val="76424E1E"/>
    <w:rsid w:val="76432944"/>
    <w:rsid w:val="764346F2"/>
    <w:rsid w:val="764364A0"/>
    <w:rsid w:val="76452218"/>
    <w:rsid w:val="764566BC"/>
    <w:rsid w:val="76472434"/>
    <w:rsid w:val="7647515B"/>
    <w:rsid w:val="76487F5B"/>
    <w:rsid w:val="764A3CD3"/>
    <w:rsid w:val="764A5A81"/>
    <w:rsid w:val="764C17F9"/>
    <w:rsid w:val="764D37C3"/>
    <w:rsid w:val="764D5571"/>
    <w:rsid w:val="764E3D8F"/>
    <w:rsid w:val="764F753B"/>
    <w:rsid w:val="76500BBD"/>
    <w:rsid w:val="76515061"/>
    <w:rsid w:val="76522B87"/>
    <w:rsid w:val="76544B51"/>
    <w:rsid w:val="765468FF"/>
    <w:rsid w:val="765661D4"/>
    <w:rsid w:val="76592141"/>
    <w:rsid w:val="765C7562"/>
    <w:rsid w:val="765D7381"/>
    <w:rsid w:val="765E152C"/>
    <w:rsid w:val="766308F1"/>
    <w:rsid w:val="76640619"/>
    <w:rsid w:val="766528BB"/>
    <w:rsid w:val="766703E1"/>
    <w:rsid w:val="76676633"/>
    <w:rsid w:val="766823AB"/>
    <w:rsid w:val="76685F07"/>
    <w:rsid w:val="766905FD"/>
    <w:rsid w:val="766A6123"/>
    <w:rsid w:val="766C1E9B"/>
    <w:rsid w:val="766C3C49"/>
    <w:rsid w:val="766C59E6"/>
    <w:rsid w:val="766C59F7"/>
    <w:rsid w:val="766F54E7"/>
    <w:rsid w:val="766F7295"/>
    <w:rsid w:val="7671300D"/>
    <w:rsid w:val="76726D86"/>
    <w:rsid w:val="76740D50"/>
    <w:rsid w:val="76746FA2"/>
    <w:rsid w:val="76780840"/>
    <w:rsid w:val="767951E7"/>
    <w:rsid w:val="767B0330"/>
    <w:rsid w:val="767D7C04"/>
    <w:rsid w:val="767E1552"/>
    <w:rsid w:val="767E1BCE"/>
    <w:rsid w:val="767E397C"/>
    <w:rsid w:val="767E572A"/>
    <w:rsid w:val="768076F4"/>
    <w:rsid w:val="7682346D"/>
    <w:rsid w:val="768371E5"/>
    <w:rsid w:val="76852F5D"/>
    <w:rsid w:val="76870A83"/>
    <w:rsid w:val="768D50CE"/>
    <w:rsid w:val="768F7938"/>
    <w:rsid w:val="76902210"/>
    <w:rsid w:val="7690402B"/>
    <w:rsid w:val="7691545E"/>
    <w:rsid w:val="76942021"/>
    <w:rsid w:val="769767EC"/>
    <w:rsid w:val="76982C90"/>
    <w:rsid w:val="76984A3E"/>
    <w:rsid w:val="76A038F3"/>
    <w:rsid w:val="76A07A2B"/>
    <w:rsid w:val="76A10290"/>
    <w:rsid w:val="76A50F09"/>
    <w:rsid w:val="76A553AD"/>
    <w:rsid w:val="76A96C4B"/>
    <w:rsid w:val="76AC2297"/>
    <w:rsid w:val="76AC2E78"/>
    <w:rsid w:val="76AE6010"/>
    <w:rsid w:val="76B4114C"/>
    <w:rsid w:val="76B455F0"/>
    <w:rsid w:val="76B4739E"/>
    <w:rsid w:val="76B850E0"/>
    <w:rsid w:val="76BF021D"/>
    <w:rsid w:val="76BF1F8C"/>
    <w:rsid w:val="76C05D43"/>
    <w:rsid w:val="76C060FE"/>
    <w:rsid w:val="76C1103D"/>
    <w:rsid w:val="76C21ABB"/>
    <w:rsid w:val="76C23869"/>
    <w:rsid w:val="76C577FD"/>
    <w:rsid w:val="76C64EAF"/>
    <w:rsid w:val="76C70E7F"/>
    <w:rsid w:val="76C75323"/>
    <w:rsid w:val="76C84BF7"/>
    <w:rsid w:val="76C9109B"/>
    <w:rsid w:val="76CA3830"/>
    <w:rsid w:val="76CA4E14"/>
    <w:rsid w:val="76CC46E8"/>
    <w:rsid w:val="76CD220E"/>
    <w:rsid w:val="76CE0460"/>
    <w:rsid w:val="76CF6212"/>
    <w:rsid w:val="76D161A2"/>
    <w:rsid w:val="76D23B71"/>
    <w:rsid w:val="76D35A76"/>
    <w:rsid w:val="76D417EE"/>
    <w:rsid w:val="76D46C00"/>
    <w:rsid w:val="76D67314"/>
    <w:rsid w:val="76D80A05"/>
    <w:rsid w:val="76D96E05"/>
    <w:rsid w:val="76DB2B7D"/>
    <w:rsid w:val="76DD06A3"/>
    <w:rsid w:val="76DD1CA6"/>
    <w:rsid w:val="76DF08BF"/>
    <w:rsid w:val="76DF266D"/>
    <w:rsid w:val="76DF5548"/>
    <w:rsid w:val="76E01F41"/>
    <w:rsid w:val="76E063E5"/>
    <w:rsid w:val="76E45ED5"/>
    <w:rsid w:val="76E539FB"/>
    <w:rsid w:val="76E732D0"/>
    <w:rsid w:val="76EC6B38"/>
    <w:rsid w:val="76EE0B02"/>
    <w:rsid w:val="76EE28B0"/>
    <w:rsid w:val="76EE56B6"/>
    <w:rsid w:val="76EF6628"/>
    <w:rsid w:val="76F123A0"/>
    <w:rsid w:val="76F65C09"/>
    <w:rsid w:val="76F7284D"/>
    <w:rsid w:val="76FA22C3"/>
    <w:rsid w:val="76FB0C8A"/>
    <w:rsid w:val="76FB6D7B"/>
    <w:rsid w:val="76FD2AF3"/>
    <w:rsid w:val="76FF4ABD"/>
    <w:rsid w:val="76FF686B"/>
    <w:rsid w:val="77000835"/>
    <w:rsid w:val="7702635B"/>
    <w:rsid w:val="77043E82"/>
    <w:rsid w:val="77057BFA"/>
    <w:rsid w:val="77073972"/>
    <w:rsid w:val="770A30FC"/>
    <w:rsid w:val="770A5210"/>
    <w:rsid w:val="770B16B4"/>
    <w:rsid w:val="770E2F52"/>
    <w:rsid w:val="770E6AAE"/>
    <w:rsid w:val="77130569"/>
    <w:rsid w:val="77132317"/>
    <w:rsid w:val="77161E07"/>
    <w:rsid w:val="77170059"/>
    <w:rsid w:val="77183DD1"/>
    <w:rsid w:val="77187335"/>
    <w:rsid w:val="771A18F7"/>
    <w:rsid w:val="771A36A5"/>
    <w:rsid w:val="771B11CB"/>
    <w:rsid w:val="771C566F"/>
    <w:rsid w:val="771F2A69"/>
    <w:rsid w:val="772067E2"/>
    <w:rsid w:val="77242776"/>
    <w:rsid w:val="77253DF8"/>
    <w:rsid w:val="7726029C"/>
    <w:rsid w:val="77260942"/>
    <w:rsid w:val="77277B70"/>
    <w:rsid w:val="77297D8C"/>
    <w:rsid w:val="772C162A"/>
    <w:rsid w:val="772C33D8"/>
    <w:rsid w:val="772E0EFE"/>
    <w:rsid w:val="772E7150"/>
    <w:rsid w:val="773109EF"/>
    <w:rsid w:val="7731279D"/>
    <w:rsid w:val="77336515"/>
    <w:rsid w:val="773724A9"/>
    <w:rsid w:val="77376912"/>
    <w:rsid w:val="773A5AF5"/>
    <w:rsid w:val="773D55E5"/>
    <w:rsid w:val="773F135E"/>
    <w:rsid w:val="773F4EBA"/>
    <w:rsid w:val="7740358B"/>
    <w:rsid w:val="774150D6"/>
    <w:rsid w:val="77420E4E"/>
    <w:rsid w:val="77435747"/>
    <w:rsid w:val="77440722"/>
    <w:rsid w:val="77446974"/>
    <w:rsid w:val="77450125"/>
    <w:rsid w:val="77470212"/>
    <w:rsid w:val="77471FC0"/>
    <w:rsid w:val="77493136"/>
    <w:rsid w:val="77493F8A"/>
    <w:rsid w:val="774B7D02"/>
    <w:rsid w:val="774E334F"/>
    <w:rsid w:val="77501FC8"/>
    <w:rsid w:val="77513458"/>
    <w:rsid w:val="77514BED"/>
    <w:rsid w:val="77525D78"/>
    <w:rsid w:val="775274B9"/>
    <w:rsid w:val="77550BB8"/>
    <w:rsid w:val="77555E3A"/>
    <w:rsid w:val="77562203"/>
    <w:rsid w:val="775841CD"/>
    <w:rsid w:val="77584B5D"/>
    <w:rsid w:val="775A1CF3"/>
    <w:rsid w:val="775E5C88"/>
    <w:rsid w:val="775F730A"/>
    <w:rsid w:val="77622461"/>
    <w:rsid w:val="7762504C"/>
    <w:rsid w:val="77636D28"/>
    <w:rsid w:val="77640DC4"/>
    <w:rsid w:val="77664B3C"/>
    <w:rsid w:val="77672662"/>
    <w:rsid w:val="776963DA"/>
    <w:rsid w:val="7771703D"/>
    <w:rsid w:val="77732DB5"/>
    <w:rsid w:val="7775678A"/>
    <w:rsid w:val="77763CE3"/>
    <w:rsid w:val="777728A5"/>
    <w:rsid w:val="777803CC"/>
    <w:rsid w:val="77792F92"/>
    <w:rsid w:val="777A2396"/>
    <w:rsid w:val="777A4144"/>
    <w:rsid w:val="777B7B55"/>
    <w:rsid w:val="777D59E2"/>
    <w:rsid w:val="777F79AC"/>
    <w:rsid w:val="77813724"/>
    <w:rsid w:val="778154D2"/>
    <w:rsid w:val="77832A4C"/>
    <w:rsid w:val="778356EE"/>
    <w:rsid w:val="77846D70"/>
    <w:rsid w:val="77866F8C"/>
    <w:rsid w:val="77882D05"/>
    <w:rsid w:val="77890A18"/>
    <w:rsid w:val="778B00FF"/>
    <w:rsid w:val="778C0ADA"/>
    <w:rsid w:val="778D7399"/>
    <w:rsid w:val="778E5E41"/>
    <w:rsid w:val="77905D1A"/>
    <w:rsid w:val="77935205"/>
    <w:rsid w:val="77955421"/>
    <w:rsid w:val="77972F48"/>
    <w:rsid w:val="77976AA4"/>
    <w:rsid w:val="779A2A38"/>
    <w:rsid w:val="779C055E"/>
    <w:rsid w:val="779C230C"/>
    <w:rsid w:val="779C67B0"/>
    <w:rsid w:val="779D7E32"/>
    <w:rsid w:val="779F0A07"/>
    <w:rsid w:val="77A411C1"/>
    <w:rsid w:val="77A46D61"/>
    <w:rsid w:val="77A47413"/>
    <w:rsid w:val="77A64F39"/>
    <w:rsid w:val="77A7501B"/>
    <w:rsid w:val="77A86F03"/>
    <w:rsid w:val="77A94A29"/>
    <w:rsid w:val="77A95D3A"/>
    <w:rsid w:val="77AE0291"/>
    <w:rsid w:val="77AF6556"/>
    <w:rsid w:val="77B16794"/>
    <w:rsid w:val="77B238DE"/>
    <w:rsid w:val="77B37656"/>
    <w:rsid w:val="77B5517C"/>
    <w:rsid w:val="77B565A5"/>
    <w:rsid w:val="77B706CD"/>
    <w:rsid w:val="77B75398"/>
    <w:rsid w:val="77B85277"/>
    <w:rsid w:val="77BA09E4"/>
    <w:rsid w:val="77BE6726"/>
    <w:rsid w:val="77BF249E"/>
    <w:rsid w:val="77BF5FFA"/>
    <w:rsid w:val="77C16217"/>
    <w:rsid w:val="77C17FC5"/>
    <w:rsid w:val="77C27899"/>
    <w:rsid w:val="77C67389"/>
    <w:rsid w:val="77C81353"/>
    <w:rsid w:val="77C96E79"/>
    <w:rsid w:val="77CB1F0C"/>
    <w:rsid w:val="77CE623E"/>
    <w:rsid w:val="77CF26E1"/>
    <w:rsid w:val="77D20625"/>
    <w:rsid w:val="77D31AA6"/>
    <w:rsid w:val="77D73344"/>
    <w:rsid w:val="77D81F09"/>
    <w:rsid w:val="77DA1086"/>
    <w:rsid w:val="77DA4BE2"/>
    <w:rsid w:val="77DC6BAC"/>
    <w:rsid w:val="77DD36C8"/>
    <w:rsid w:val="77DE0B76"/>
    <w:rsid w:val="77DF044B"/>
    <w:rsid w:val="77DF6A38"/>
    <w:rsid w:val="77E43BE5"/>
    <w:rsid w:val="77E8017E"/>
    <w:rsid w:val="77E912C9"/>
    <w:rsid w:val="77EB2E35"/>
    <w:rsid w:val="77EB5041"/>
    <w:rsid w:val="77EF68E0"/>
    <w:rsid w:val="77F02658"/>
    <w:rsid w:val="77F116DF"/>
    <w:rsid w:val="77F2017E"/>
    <w:rsid w:val="77F24622"/>
    <w:rsid w:val="77F57C6E"/>
    <w:rsid w:val="77F82F4F"/>
    <w:rsid w:val="77F9150C"/>
    <w:rsid w:val="77F9775E"/>
    <w:rsid w:val="77FA5285"/>
    <w:rsid w:val="77FC0FFD"/>
    <w:rsid w:val="77FC1EE6"/>
    <w:rsid w:val="77FC724F"/>
    <w:rsid w:val="77FD4147"/>
    <w:rsid w:val="77FE6B23"/>
    <w:rsid w:val="7801430A"/>
    <w:rsid w:val="78034139"/>
    <w:rsid w:val="780600CD"/>
    <w:rsid w:val="78063C29"/>
    <w:rsid w:val="780A196C"/>
    <w:rsid w:val="780D320A"/>
    <w:rsid w:val="780D398B"/>
    <w:rsid w:val="780D4FB8"/>
    <w:rsid w:val="78113D93"/>
    <w:rsid w:val="781225CE"/>
    <w:rsid w:val="78135B31"/>
    <w:rsid w:val="78136181"/>
    <w:rsid w:val="78140B23"/>
    <w:rsid w:val="78144598"/>
    <w:rsid w:val="78153D97"/>
    <w:rsid w:val="78197E01"/>
    <w:rsid w:val="781E0F73"/>
    <w:rsid w:val="781E5417"/>
    <w:rsid w:val="78202F3D"/>
    <w:rsid w:val="78212D05"/>
    <w:rsid w:val="78222C3F"/>
    <w:rsid w:val="78226EDA"/>
    <w:rsid w:val="782347DB"/>
    <w:rsid w:val="782567A5"/>
    <w:rsid w:val="78276B74"/>
    <w:rsid w:val="78281DF2"/>
    <w:rsid w:val="782E2738"/>
    <w:rsid w:val="782F4F2E"/>
    <w:rsid w:val="78300CA6"/>
    <w:rsid w:val="78342545"/>
    <w:rsid w:val="783469E8"/>
    <w:rsid w:val="783764D9"/>
    <w:rsid w:val="78393FFF"/>
    <w:rsid w:val="783A38D3"/>
    <w:rsid w:val="783B3816"/>
    <w:rsid w:val="783C589D"/>
    <w:rsid w:val="783E1615"/>
    <w:rsid w:val="7840538D"/>
    <w:rsid w:val="78436C2C"/>
    <w:rsid w:val="78450BF6"/>
    <w:rsid w:val="78452B7C"/>
    <w:rsid w:val="78455924"/>
    <w:rsid w:val="784604CA"/>
    <w:rsid w:val="78485FF0"/>
    <w:rsid w:val="78496619"/>
    <w:rsid w:val="784974F5"/>
    <w:rsid w:val="784A1D68"/>
    <w:rsid w:val="784B4831"/>
    <w:rsid w:val="784B5AE0"/>
    <w:rsid w:val="784F55D0"/>
    <w:rsid w:val="7851759A"/>
    <w:rsid w:val="78524B43"/>
    <w:rsid w:val="78574485"/>
    <w:rsid w:val="7858069A"/>
    <w:rsid w:val="78582A39"/>
    <w:rsid w:val="785901FD"/>
    <w:rsid w:val="785C1A9B"/>
    <w:rsid w:val="785F128C"/>
    <w:rsid w:val="7860333A"/>
    <w:rsid w:val="786170B2"/>
    <w:rsid w:val="78632E2A"/>
    <w:rsid w:val="7864559E"/>
    <w:rsid w:val="78650950"/>
    <w:rsid w:val="78656BA2"/>
    <w:rsid w:val="7866291A"/>
    <w:rsid w:val="786646C8"/>
    <w:rsid w:val="786A240A"/>
    <w:rsid w:val="786A474B"/>
    <w:rsid w:val="786C6182"/>
    <w:rsid w:val="786D1EFA"/>
    <w:rsid w:val="786E7279"/>
    <w:rsid w:val="786F17CF"/>
    <w:rsid w:val="786F5C73"/>
    <w:rsid w:val="786F7A21"/>
    <w:rsid w:val="787119EB"/>
    <w:rsid w:val="7872306D"/>
    <w:rsid w:val="78736567"/>
    <w:rsid w:val="78745037"/>
    <w:rsid w:val="78762B5D"/>
    <w:rsid w:val="7879264D"/>
    <w:rsid w:val="787943FB"/>
    <w:rsid w:val="788469DE"/>
    <w:rsid w:val="78857244"/>
    <w:rsid w:val="78880AE2"/>
    <w:rsid w:val="788A2AAC"/>
    <w:rsid w:val="788B412F"/>
    <w:rsid w:val="788F00C3"/>
    <w:rsid w:val="788F1E71"/>
    <w:rsid w:val="78915BE9"/>
    <w:rsid w:val="7892370F"/>
    <w:rsid w:val="789254BD"/>
    <w:rsid w:val="78926FC6"/>
    <w:rsid w:val="78986F77"/>
    <w:rsid w:val="78994A9D"/>
    <w:rsid w:val="7899684C"/>
    <w:rsid w:val="789B0816"/>
    <w:rsid w:val="789C633C"/>
    <w:rsid w:val="789D458E"/>
    <w:rsid w:val="789F69F9"/>
    <w:rsid w:val="78A1707A"/>
    <w:rsid w:val="78A21BA4"/>
    <w:rsid w:val="78A3591C"/>
    <w:rsid w:val="78A4286B"/>
    <w:rsid w:val="78A43B6E"/>
    <w:rsid w:val="78A551F0"/>
    <w:rsid w:val="78AA2807"/>
    <w:rsid w:val="78AA6AF2"/>
    <w:rsid w:val="78AC47D1"/>
    <w:rsid w:val="78AC657F"/>
    <w:rsid w:val="78AD22F7"/>
    <w:rsid w:val="78AF42C1"/>
    <w:rsid w:val="78B23CEB"/>
    <w:rsid w:val="78B2790D"/>
    <w:rsid w:val="78B418D7"/>
    <w:rsid w:val="78B47B29"/>
    <w:rsid w:val="78B611AB"/>
    <w:rsid w:val="78B638A1"/>
    <w:rsid w:val="78B673FD"/>
    <w:rsid w:val="78B95140"/>
    <w:rsid w:val="78BB4DC3"/>
    <w:rsid w:val="78BD078C"/>
    <w:rsid w:val="78BE2756"/>
    <w:rsid w:val="78C02044"/>
    <w:rsid w:val="78C23FF4"/>
    <w:rsid w:val="78C37D6C"/>
    <w:rsid w:val="78C47284"/>
    <w:rsid w:val="78C80EDF"/>
    <w:rsid w:val="78CA30F6"/>
    <w:rsid w:val="78CA4C57"/>
    <w:rsid w:val="78CC37D6"/>
    <w:rsid w:val="78CC6C21"/>
    <w:rsid w:val="78CD4747"/>
    <w:rsid w:val="78CE0BEB"/>
    <w:rsid w:val="78CF04BF"/>
    <w:rsid w:val="78CF4963"/>
    <w:rsid w:val="78CF6711"/>
    <w:rsid w:val="78CF6CC0"/>
    <w:rsid w:val="78D13B60"/>
    <w:rsid w:val="78D36201"/>
    <w:rsid w:val="78D37FAF"/>
    <w:rsid w:val="78D6184E"/>
    <w:rsid w:val="78D855C6"/>
    <w:rsid w:val="78DB50B6"/>
    <w:rsid w:val="78DB6E64"/>
    <w:rsid w:val="78DC00DC"/>
    <w:rsid w:val="78DD156C"/>
    <w:rsid w:val="78DD2BDC"/>
    <w:rsid w:val="78DE6954"/>
    <w:rsid w:val="78DF0898"/>
    <w:rsid w:val="78E0091E"/>
    <w:rsid w:val="78E026CC"/>
    <w:rsid w:val="78E13367"/>
    <w:rsid w:val="78E201F2"/>
    <w:rsid w:val="78E232C5"/>
    <w:rsid w:val="78E35D19"/>
    <w:rsid w:val="78E55F35"/>
    <w:rsid w:val="78E6261E"/>
    <w:rsid w:val="78E75809"/>
    <w:rsid w:val="78E977D3"/>
    <w:rsid w:val="78EA354B"/>
    <w:rsid w:val="78EC72C3"/>
    <w:rsid w:val="78EF0B61"/>
    <w:rsid w:val="78F16688"/>
    <w:rsid w:val="78F32400"/>
    <w:rsid w:val="78F341AE"/>
    <w:rsid w:val="78F36F70"/>
    <w:rsid w:val="78F44C22"/>
    <w:rsid w:val="78F543CA"/>
    <w:rsid w:val="78F65A4C"/>
    <w:rsid w:val="78F91E55"/>
    <w:rsid w:val="78F9378E"/>
    <w:rsid w:val="78FD33FB"/>
    <w:rsid w:val="78FE2B52"/>
    <w:rsid w:val="78FF0DA4"/>
    <w:rsid w:val="79020895"/>
    <w:rsid w:val="79022643"/>
    <w:rsid w:val="79052133"/>
    <w:rsid w:val="79061C08"/>
    <w:rsid w:val="79077C59"/>
    <w:rsid w:val="79084528"/>
    <w:rsid w:val="790A14F7"/>
    <w:rsid w:val="790A7749"/>
    <w:rsid w:val="790F4D60"/>
    <w:rsid w:val="79144124"/>
    <w:rsid w:val="791505C8"/>
    <w:rsid w:val="791757D6"/>
    <w:rsid w:val="7917715F"/>
    <w:rsid w:val="791800B8"/>
    <w:rsid w:val="79183C14"/>
    <w:rsid w:val="791906D8"/>
    <w:rsid w:val="7919798C"/>
    <w:rsid w:val="791B1956"/>
    <w:rsid w:val="791B54B2"/>
    <w:rsid w:val="791D56CF"/>
    <w:rsid w:val="791F131F"/>
    <w:rsid w:val="791F1447"/>
    <w:rsid w:val="792425B9"/>
    <w:rsid w:val="79254583"/>
    <w:rsid w:val="792A3948"/>
    <w:rsid w:val="792C5064"/>
    <w:rsid w:val="792C6E7D"/>
    <w:rsid w:val="792C76C0"/>
    <w:rsid w:val="792E3438"/>
    <w:rsid w:val="792F0F5E"/>
    <w:rsid w:val="792F355C"/>
    <w:rsid w:val="792F71B0"/>
    <w:rsid w:val="793236F3"/>
    <w:rsid w:val="793425DB"/>
    <w:rsid w:val="79346574"/>
    <w:rsid w:val="79356116"/>
    <w:rsid w:val="793622EC"/>
    <w:rsid w:val="79382508"/>
    <w:rsid w:val="79387AF1"/>
    <w:rsid w:val="793A002E"/>
    <w:rsid w:val="793B7903"/>
    <w:rsid w:val="793F363C"/>
    <w:rsid w:val="79420C91"/>
    <w:rsid w:val="79421A53"/>
    <w:rsid w:val="79424F6E"/>
    <w:rsid w:val="79425135"/>
    <w:rsid w:val="7943341B"/>
    <w:rsid w:val="79444A09"/>
    <w:rsid w:val="79464C25"/>
    <w:rsid w:val="794762A8"/>
    <w:rsid w:val="79490272"/>
    <w:rsid w:val="794B223C"/>
    <w:rsid w:val="794C0F66"/>
    <w:rsid w:val="794C38BE"/>
    <w:rsid w:val="794F06AD"/>
    <w:rsid w:val="79507FD7"/>
    <w:rsid w:val="795310F0"/>
    <w:rsid w:val="79532E9E"/>
    <w:rsid w:val="79570BE0"/>
    <w:rsid w:val="79586707"/>
    <w:rsid w:val="79592940"/>
    <w:rsid w:val="795D5ACB"/>
    <w:rsid w:val="79601FFF"/>
    <w:rsid w:val="796230E1"/>
    <w:rsid w:val="796432FD"/>
    <w:rsid w:val="79661644"/>
    <w:rsid w:val="79674B9C"/>
    <w:rsid w:val="7967643E"/>
    <w:rsid w:val="796B4D38"/>
    <w:rsid w:val="796C5D0E"/>
    <w:rsid w:val="797177C8"/>
    <w:rsid w:val="79725A1A"/>
    <w:rsid w:val="7973709D"/>
    <w:rsid w:val="79752E15"/>
    <w:rsid w:val="797572B9"/>
    <w:rsid w:val="79766B8D"/>
    <w:rsid w:val="79780B57"/>
    <w:rsid w:val="79786DA9"/>
    <w:rsid w:val="797D616D"/>
    <w:rsid w:val="797E49AB"/>
    <w:rsid w:val="797F3C93"/>
    <w:rsid w:val="7980087A"/>
    <w:rsid w:val="798017B9"/>
    <w:rsid w:val="7981328D"/>
    <w:rsid w:val="798412AA"/>
    <w:rsid w:val="79856DD0"/>
    <w:rsid w:val="79865022"/>
    <w:rsid w:val="79870D9A"/>
    <w:rsid w:val="79876FEC"/>
    <w:rsid w:val="79880B42"/>
    <w:rsid w:val="79891A2A"/>
    <w:rsid w:val="798A16BF"/>
    <w:rsid w:val="798B6FB4"/>
    <w:rsid w:val="798F6035"/>
    <w:rsid w:val="79927E6B"/>
    <w:rsid w:val="79933F60"/>
    <w:rsid w:val="7997722F"/>
    <w:rsid w:val="79984D55"/>
    <w:rsid w:val="79986B03"/>
    <w:rsid w:val="79997C58"/>
    <w:rsid w:val="799A0ACD"/>
    <w:rsid w:val="799A1262"/>
    <w:rsid w:val="799A6D1F"/>
    <w:rsid w:val="79A27982"/>
    <w:rsid w:val="79A60F46"/>
    <w:rsid w:val="79A62A6D"/>
    <w:rsid w:val="79A7714B"/>
    <w:rsid w:val="79A8143C"/>
    <w:rsid w:val="79AA730F"/>
    <w:rsid w:val="79AE4579"/>
    <w:rsid w:val="79AE6327"/>
    <w:rsid w:val="79B24069"/>
    <w:rsid w:val="79B37DE1"/>
    <w:rsid w:val="79B576B5"/>
    <w:rsid w:val="79B7167F"/>
    <w:rsid w:val="79B7342D"/>
    <w:rsid w:val="79B778D1"/>
    <w:rsid w:val="79B80F53"/>
    <w:rsid w:val="79BA116F"/>
    <w:rsid w:val="79BB609A"/>
    <w:rsid w:val="79BC4EE7"/>
    <w:rsid w:val="79BC6C95"/>
    <w:rsid w:val="79BE0C60"/>
    <w:rsid w:val="79BF22E2"/>
    <w:rsid w:val="79C0463F"/>
    <w:rsid w:val="79C318FE"/>
    <w:rsid w:val="79C43D9C"/>
    <w:rsid w:val="79C618C2"/>
    <w:rsid w:val="79C8563A"/>
    <w:rsid w:val="79C913B2"/>
    <w:rsid w:val="79CB512B"/>
    <w:rsid w:val="79CD2C51"/>
    <w:rsid w:val="79D02741"/>
    <w:rsid w:val="79D0629D"/>
    <w:rsid w:val="79D264B9"/>
    <w:rsid w:val="79D42231"/>
    <w:rsid w:val="79D62024"/>
    <w:rsid w:val="79D73ACF"/>
    <w:rsid w:val="79D7762B"/>
    <w:rsid w:val="79D81204"/>
    <w:rsid w:val="79D97847"/>
    <w:rsid w:val="79DA711C"/>
    <w:rsid w:val="79DC2E94"/>
    <w:rsid w:val="79DC7338"/>
    <w:rsid w:val="79DF2984"/>
    <w:rsid w:val="79E05138"/>
    <w:rsid w:val="79E13D7A"/>
    <w:rsid w:val="79E306C6"/>
    <w:rsid w:val="79E81839"/>
    <w:rsid w:val="79E93803"/>
    <w:rsid w:val="79E955B1"/>
    <w:rsid w:val="79E9735F"/>
    <w:rsid w:val="79EB30D7"/>
    <w:rsid w:val="79EC0B0A"/>
    <w:rsid w:val="79ED50A1"/>
    <w:rsid w:val="79ED6E4F"/>
    <w:rsid w:val="79EF0BCC"/>
    <w:rsid w:val="79EF399B"/>
    <w:rsid w:val="79F0693F"/>
    <w:rsid w:val="79F20909"/>
    <w:rsid w:val="79F2497C"/>
    <w:rsid w:val="79F2754D"/>
    <w:rsid w:val="79F3642F"/>
    <w:rsid w:val="79F4097E"/>
    <w:rsid w:val="79F44681"/>
    <w:rsid w:val="79F57AA2"/>
    <w:rsid w:val="79F6397A"/>
    <w:rsid w:val="79F707EE"/>
    <w:rsid w:val="79F77CCE"/>
    <w:rsid w:val="79F842AC"/>
    <w:rsid w:val="79F857F4"/>
    <w:rsid w:val="79FA156C"/>
    <w:rsid w:val="79FA77BE"/>
    <w:rsid w:val="79FD2E0A"/>
    <w:rsid w:val="79FE105C"/>
    <w:rsid w:val="79FF3026"/>
    <w:rsid w:val="7A036672"/>
    <w:rsid w:val="7A04063C"/>
    <w:rsid w:val="7A0423EA"/>
    <w:rsid w:val="7A054CFA"/>
    <w:rsid w:val="7A067F11"/>
    <w:rsid w:val="7A081EDB"/>
    <w:rsid w:val="7A083C89"/>
    <w:rsid w:val="7A0C2CC5"/>
    <w:rsid w:val="7A0D74F1"/>
    <w:rsid w:val="7A102B3D"/>
    <w:rsid w:val="7A1179E4"/>
    <w:rsid w:val="7A124B07"/>
    <w:rsid w:val="7A13262E"/>
    <w:rsid w:val="7A137FC7"/>
    <w:rsid w:val="7A146AD1"/>
    <w:rsid w:val="7A1528E7"/>
    <w:rsid w:val="7A1545F8"/>
    <w:rsid w:val="7A170370"/>
    <w:rsid w:val="7A170EA1"/>
    <w:rsid w:val="7A177DD8"/>
    <w:rsid w:val="7A187C44"/>
    <w:rsid w:val="7A1940E8"/>
    <w:rsid w:val="7A1A1B20"/>
    <w:rsid w:val="7A1A39BC"/>
    <w:rsid w:val="7A1B0F29"/>
    <w:rsid w:val="7A1C7734"/>
    <w:rsid w:val="7A1E16FE"/>
    <w:rsid w:val="7A1E34AC"/>
    <w:rsid w:val="7A1E4635"/>
    <w:rsid w:val="7A1E525A"/>
    <w:rsid w:val="7A1F0FD2"/>
    <w:rsid w:val="7A222A8F"/>
    <w:rsid w:val="7A224631"/>
    <w:rsid w:val="7A232871"/>
    <w:rsid w:val="7A252A8D"/>
    <w:rsid w:val="7A266E85"/>
    <w:rsid w:val="7A275136"/>
    <w:rsid w:val="7A2839AD"/>
    <w:rsid w:val="7A28432B"/>
    <w:rsid w:val="7A293BFF"/>
    <w:rsid w:val="7A2B7977"/>
    <w:rsid w:val="7A3031E0"/>
    <w:rsid w:val="7A3074EF"/>
    <w:rsid w:val="7A3251AA"/>
    <w:rsid w:val="7A340F22"/>
    <w:rsid w:val="7A371450"/>
    <w:rsid w:val="7A3727C0"/>
    <w:rsid w:val="7A37631C"/>
    <w:rsid w:val="7A3A405E"/>
    <w:rsid w:val="7A3C7DD6"/>
    <w:rsid w:val="7A3E76AA"/>
    <w:rsid w:val="7A3F3423"/>
    <w:rsid w:val="7A4153ED"/>
    <w:rsid w:val="7A41719B"/>
    <w:rsid w:val="7A431165"/>
    <w:rsid w:val="7A450D97"/>
    <w:rsid w:val="7A462A03"/>
    <w:rsid w:val="7A467E34"/>
    <w:rsid w:val="7A4822D7"/>
    <w:rsid w:val="7A4874F5"/>
    <w:rsid w:val="7A4B0019"/>
    <w:rsid w:val="7A4B35FF"/>
    <w:rsid w:val="7A4C22A7"/>
    <w:rsid w:val="7A4E3666"/>
    <w:rsid w:val="7A4F7B0A"/>
    <w:rsid w:val="7A513882"/>
    <w:rsid w:val="7A5213A8"/>
    <w:rsid w:val="7A522889"/>
    <w:rsid w:val="7A523156"/>
    <w:rsid w:val="7A546ECE"/>
    <w:rsid w:val="7A57076C"/>
    <w:rsid w:val="7A5769BE"/>
    <w:rsid w:val="7A5B7A8E"/>
    <w:rsid w:val="7A5F2964"/>
    <w:rsid w:val="7A60132A"/>
    <w:rsid w:val="7A601D17"/>
    <w:rsid w:val="7A603AC5"/>
    <w:rsid w:val="7A637111"/>
    <w:rsid w:val="7A6510DB"/>
    <w:rsid w:val="7A652E89"/>
    <w:rsid w:val="7A680BCB"/>
    <w:rsid w:val="7A6A04A0"/>
    <w:rsid w:val="7A6B15C4"/>
    <w:rsid w:val="7A6B1FA0"/>
    <w:rsid w:val="7A6D7F90"/>
    <w:rsid w:val="7A715CD2"/>
    <w:rsid w:val="7A721E73"/>
    <w:rsid w:val="7A7237F8"/>
    <w:rsid w:val="7A7255A6"/>
    <w:rsid w:val="7A772BBC"/>
    <w:rsid w:val="7A785D11"/>
    <w:rsid w:val="7A794B87"/>
    <w:rsid w:val="7A796935"/>
    <w:rsid w:val="7A7B08FF"/>
    <w:rsid w:val="7A7C01D3"/>
    <w:rsid w:val="7A7C6425"/>
    <w:rsid w:val="7A7D6F86"/>
    <w:rsid w:val="7A7E3F4B"/>
    <w:rsid w:val="7A7F1A71"/>
    <w:rsid w:val="7A804167"/>
    <w:rsid w:val="7A822A1F"/>
    <w:rsid w:val="7A835A05"/>
    <w:rsid w:val="7A85177D"/>
    <w:rsid w:val="7A8552D9"/>
    <w:rsid w:val="7A88301C"/>
    <w:rsid w:val="7A885CD7"/>
    <w:rsid w:val="7A8C2A1A"/>
    <w:rsid w:val="7A8E473B"/>
    <w:rsid w:val="7A904BDB"/>
    <w:rsid w:val="7A911ED0"/>
    <w:rsid w:val="7A91688C"/>
    <w:rsid w:val="7A94376E"/>
    <w:rsid w:val="7A951295"/>
    <w:rsid w:val="7A965738"/>
    <w:rsid w:val="7A992B33"/>
    <w:rsid w:val="7A996FD7"/>
    <w:rsid w:val="7A9B4AFD"/>
    <w:rsid w:val="7A9B68AB"/>
    <w:rsid w:val="7A9E283F"/>
    <w:rsid w:val="7A9E639B"/>
    <w:rsid w:val="7AA22BED"/>
    <w:rsid w:val="7AA634A2"/>
    <w:rsid w:val="7AA65250"/>
    <w:rsid w:val="7AA66524"/>
    <w:rsid w:val="7AA8546C"/>
    <w:rsid w:val="7AA8721A"/>
    <w:rsid w:val="7AAB61B6"/>
    <w:rsid w:val="7AAC0AB8"/>
    <w:rsid w:val="7AAD4830"/>
    <w:rsid w:val="7AB12572"/>
    <w:rsid w:val="7AB21E46"/>
    <w:rsid w:val="7AB4796D"/>
    <w:rsid w:val="7AB61937"/>
    <w:rsid w:val="7AB63A8D"/>
    <w:rsid w:val="7AB705A7"/>
    <w:rsid w:val="7AB7745D"/>
    <w:rsid w:val="7ABB0CFB"/>
    <w:rsid w:val="7ABB6F4D"/>
    <w:rsid w:val="7AC0190A"/>
    <w:rsid w:val="7AC04563"/>
    <w:rsid w:val="7AC35E02"/>
    <w:rsid w:val="7AC53928"/>
    <w:rsid w:val="7AC754CB"/>
    <w:rsid w:val="7AC82377"/>
    <w:rsid w:val="7ACA2CF2"/>
    <w:rsid w:val="7ACA3634"/>
    <w:rsid w:val="7ACA53E2"/>
    <w:rsid w:val="7ACA5C8C"/>
    <w:rsid w:val="7ACA7190"/>
    <w:rsid w:val="7ACB4CB6"/>
    <w:rsid w:val="7ACD6C80"/>
    <w:rsid w:val="7ACF0C4A"/>
    <w:rsid w:val="7ACF47A6"/>
    <w:rsid w:val="7AD24297"/>
    <w:rsid w:val="7AD26045"/>
    <w:rsid w:val="7AD324E9"/>
    <w:rsid w:val="7AD41DBD"/>
    <w:rsid w:val="7AD46261"/>
    <w:rsid w:val="7AD61FD9"/>
    <w:rsid w:val="7AD63D87"/>
    <w:rsid w:val="7AD672E3"/>
    <w:rsid w:val="7AD718AD"/>
    <w:rsid w:val="7AD7365B"/>
    <w:rsid w:val="7AD85D51"/>
    <w:rsid w:val="7AD8769F"/>
    <w:rsid w:val="7AD93877"/>
    <w:rsid w:val="7ADE2C3C"/>
    <w:rsid w:val="7AE00762"/>
    <w:rsid w:val="7AE06072"/>
    <w:rsid w:val="7AE2272C"/>
    <w:rsid w:val="7AE37F43"/>
    <w:rsid w:val="7AE75F94"/>
    <w:rsid w:val="7AE83ABA"/>
    <w:rsid w:val="7AEA15E0"/>
    <w:rsid w:val="7AEA7832"/>
    <w:rsid w:val="7AEC5358"/>
    <w:rsid w:val="7AED2E7F"/>
    <w:rsid w:val="7AEF7C93"/>
    <w:rsid w:val="7AF10BC1"/>
    <w:rsid w:val="7AF1471D"/>
    <w:rsid w:val="7AF16E13"/>
    <w:rsid w:val="7AF4420D"/>
    <w:rsid w:val="7AF55978"/>
    <w:rsid w:val="7AFB3BDC"/>
    <w:rsid w:val="7B000E04"/>
    <w:rsid w:val="7B002BB2"/>
    <w:rsid w:val="7B032A3A"/>
    <w:rsid w:val="7B0408F4"/>
    <w:rsid w:val="7B087CB8"/>
    <w:rsid w:val="7B0D52CF"/>
    <w:rsid w:val="7B113011"/>
    <w:rsid w:val="7B114DBF"/>
    <w:rsid w:val="7B1165E0"/>
    <w:rsid w:val="7B127A70"/>
    <w:rsid w:val="7B1448AF"/>
    <w:rsid w:val="7B164183"/>
    <w:rsid w:val="7B166879"/>
    <w:rsid w:val="7B18439F"/>
    <w:rsid w:val="7B193C74"/>
    <w:rsid w:val="7B1A261A"/>
    <w:rsid w:val="7B1B3E90"/>
    <w:rsid w:val="7B1C4E34"/>
    <w:rsid w:val="7B1D5512"/>
    <w:rsid w:val="7B2014A6"/>
    <w:rsid w:val="7B205002"/>
    <w:rsid w:val="7B22169F"/>
    <w:rsid w:val="7B234AF2"/>
    <w:rsid w:val="7B2368A0"/>
    <w:rsid w:val="7B25086A"/>
    <w:rsid w:val="7B29035B"/>
    <w:rsid w:val="7B292109"/>
    <w:rsid w:val="7B2C4A37"/>
    <w:rsid w:val="7B2E771F"/>
    <w:rsid w:val="7B2F3497"/>
    <w:rsid w:val="7B334D35"/>
    <w:rsid w:val="7B362A78"/>
    <w:rsid w:val="7B3702FB"/>
    <w:rsid w:val="7B38059E"/>
    <w:rsid w:val="7B3A2568"/>
    <w:rsid w:val="7B3A4316"/>
    <w:rsid w:val="7B3E36DA"/>
    <w:rsid w:val="7B3F192C"/>
    <w:rsid w:val="7B3F7B7E"/>
    <w:rsid w:val="7B445194"/>
    <w:rsid w:val="7B44719A"/>
    <w:rsid w:val="7B494559"/>
    <w:rsid w:val="7B4B7C01"/>
    <w:rsid w:val="7B4C4049"/>
    <w:rsid w:val="7B4E1B6F"/>
    <w:rsid w:val="7B4E7DC1"/>
    <w:rsid w:val="7B51340D"/>
    <w:rsid w:val="7B590514"/>
    <w:rsid w:val="7B5A3695"/>
    <w:rsid w:val="7B5B0730"/>
    <w:rsid w:val="7B607AF4"/>
    <w:rsid w:val="7B641393"/>
    <w:rsid w:val="7B643141"/>
    <w:rsid w:val="7B6475E5"/>
    <w:rsid w:val="7B672C31"/>
    <w:rsid w:val="7B687274"/>
    <w:rsid w:val="7B6A5FA6"/>
    <w:rsid w:val="7B6D2A77"/>
    <w:rsid w:val="7B6E6B0F"/>
    <w:rsid w:val="7B6F6FFC"/>
    <w:rsid w:val="7B7122A7"/>
    <w:rsid w:val="7B722DAC"/>
    <w:rsid w:val="7B7315D6"/>
    <w:rsid w:val="7B737828"/>
    <w:rsid w:val="7B7517F2"/>
    <w:rsid w:val="7B75534E"/>
    <w:rsid w:val="7B755AFC"/>
    <w:rsid w:val="7B7664D6"/>
    <w:rsid w:val="7B767318"/>
    <w:rsid w:val="7B783090"/>
    <w:rsid w:val="7B7B048A"/>
    <w:rsid w:val="7B7B559F"/>
    <w:rsid w:val="7B7C6A2F"/>
    <w:rsid w:val="7B803CF3"/>
    <w:rsid w:val="7B812DFB"/>
    <w:rsid w:val="7B827A6B"/>
    <w:rsid w:val="7B8437E3"/>
    <w:rsid w:val="7B871525"/>
    <w:rsid w:val="7B875081"/>
    <w:rsid w:val="7B8A1033"/>
    <w:rsid w:val="7B8A4479"/>
    <w:rsid w:val="7B8B4B71"/>
    <w:rsid w:val="7B902188"/>
    <w:rsid w:val="7B931C78"/>
    <w:rsid w:val="7B933A26"/>
    <w:rsid w:val="7B971768"/>
    <w:rsid w:val="7B97648D"/>
    <w:rsid w:val="7B9A1258"/>
    <w:rsid w:val="7B9A2C07"/>
    <w:rsid w:val="7B9A4DB4"/>
    <w:rsid w:val="7B9A6B62"/>
    <w:rsid w:val="7B9B0B2D"/>
    <w:rsid w:val="7B9B1FB8"/>
    <w:rsid w:val="7B9B28DB"/>
    <w:rsid w:val="7B9C6D7F"/>
    <w:rsid w:val="7B9D48A5"/>
    <w:rsid w:val="7B9D6653"/>
    <w:rsid w:val="7B9E207A"/>
    <w:rsid w:val="7B9F350A"/>
    <w:rsid w:val="7BA07ADE"/>
    <w:rsid w:val="7BA07EF1"/>
    <w:rsid w:val="7BA14395"/>
    <w:rsid w:val="7BA15C7B"/>
    <w:rsid w:val="7BA43E85"/>
    <w:rsid w:val="7BA45C33"/>
    <w:rsid w:val="7BA63759"/>
    <w:rsid w:val="7BA9149B"/>
    <w:rsid w:val="7BAB1AAD"/>
    <w:rsid w:val="7BAB7769"/>
    <w:rsid w:val="7BAC4AE8"/>
    <w:rsid w:val="7BAD0F8C"/>
    <w:rsid w:val="7BAE0860"/>
    <w:rsid w:val="7BAE260E"/>
    <w:rsid w:val="7BB120FE"/>
    <w:rsid w:val="7BB32DB4"/>
    <w:rsid w:val="7BB340C8"/>
    <w:rsid w:val="7BB57E40"/>
    <w:rsid w:val="7BB67714"/>
    <w:rsid w:val="7BB8348D"/>
    <w:rsid w:val="7BBA5457"/>
    <w:rsid w:val="7BBC11CF"/>
    <w:rsid w:val="7BBC2F7D"/>
    <w:rsid w:val="7BBD6CF5"/>
    <w:rsid w:val="7BBF3F84"/>
    <w:rsid w:val="7BBF481B"/>
    <w:rsid w:val="7BC40083"/>
    <w:rsid w:val="7BC57958"/>
    <w:rsid w:val="7BC97448"/>
    <w:rsid w:val="7BCA420F"/>
    <w:rsid w:val="7BCC6F38"/>
    <w:rsid w:val="7BCD518A"/>
    <w:rsid w:val="7BCD6588"/>
    <w:rsid w:val="7BCE0F02"/>
    <w:rsid w:val="7BD04C7A"/>
    <w:rsid w:val="7BD059A3"/>
    <w:rsid w:val="7BD10C54"/>
    <w:rsid w:val="7BD1454E"/>
    <w:rsid w:val="7BD27829"/>
    <w:rsid w:val="7BD32074"/>
    <w:rsid w:val="7BD4388A"/>
    <w:rsid w:val="7BDA1655"/>
    <w:rsid w:val="7BDB201C"/>
    <w:rsid w:val="7BDC53CD"/>
    <w:rsid w:val="7BDC6505"/>
    <w:rsid w:val="7BDD1603"/>
    <w:rsid w:val="7BDF4EBD"/>
    <w:rsid w:val="7BDF6C6B"/>
    <w:rsid w:val="7BE10C35"/>
    <w:rsid w:val="7BE129E3"/>
    <w:rsid w:val="7BE14791"/>
    <w:rsid w:val="7BE20509"/>
    <w:rsid w:val="7BE40725"/>
    <w:rsid w:val="7BE6712F"/>
    <w:rsid w:val="7BEB1AB4"/>
    <w:rsid w:val="7BEC1388"/>
    <w:rsid w:val="7BEC3136"/>
    <w:rsid w:val="7BED0E39"/>
    <w:rsid w:val="7BEF6D51"/>
    <w:rsid w:val="7BF02C26"/>
    <w:rsid w:val="7BF14242"/>
    <w:rsid w:val="7BF256D2"/>
    <w:rsid w:val="7BF30969"/>
    <w:rsid w:val="7BF430F1"/>
    <w:rsid w:val="7BF5023D"/>
    <w:rsid w:val="7BF5648F"/>
    <w:rsid w:val="7BFA287F"/>
    <w:rsid w:val="7BFA5853"/>
    <w:rsid w:val="7BFA5D31"/>
    <w:rsid w:val="7BFB5E4A"/>
    <w:rsid w:val="7BFC15CB"/>
    <w:rsid w:val="7BFE17E7"/>
    <w:rsid w:val="7C044924"/>
    <w:rsid w:val="7C0641F8"/>
    <w:rsid w:val="7C0A5A1F"/>
    <w:rsid w:val="7C0D1A2A"/>
    <w:rsid w:val="7C0D37D8"/>
    <w:rsid w:val="7C0E57A2"/>
    <w:rsid w:val="7C1032C9"/>
    <w:rsid w:val="7C134B67"/>
    <w:rsid w:val="7C156B31"/>
    <w:rsid w:val="7C18217D"/>
    <w:rsid w:val="7C183F2B"/>
    <w:rsid w:val="7C1A5EF5"/>
    <w:rsid w:val="7C1B3BD2"/>
    <w:rsid w:val="7C1C478C"/>
    <w:rsid w:val="7C200750"/>
    <w:rsid w:val="7C217284"/>
    <w:rsid w:val="7C23124E"/>
    <w:rsid w:val="7C29438A"/>
    <w:rsid w:val="7C2A25DC"/>
    <w:rsid w:val="7C2B0102"/>
    <w:rsid w:val="7C2B6FA4"/>
    <w:rsid w:val="7C2D3E7B"/>
    <w:rsid w:val="7C2D5C29"/>
    <w:rsid w:val="7C2D79D7"/>
    <w:rsid w:val="7C2E19A1"/>
    <w:rsid w:val="7C300245"/>
    <w:rsid w:val="7C3614E6"/>
    <w:rsid w:val="7C370855"/>
    <w:rsid w:val="7C372603"/>
    <w:rsid w:val="7C396CCF"/>
    <w:rsid w:val="7C3A6597"/>
    <w:rsid w:val="7C3E1BE4"/>
    <w:rsid w:val="7C3E7E36"/>
    <w:rsid w:val="7C423C8F"/>
    <w:rsid w:val="7C440773"/>
    <w:rsid w:val="7C442F72"/>
    <w:rsid w:val="7C457B4B"/>
    <w:rsid w:val="7C460A98"/>
    <w:rsid w:val="7C464F3C"/>
    <w:rsid w:val="7C466CEA"/>
    <w:rsid w:val="7C484810"/>
    <w:rsid w:val="7C4A4A2C"/>
    <w:rsid w:val="7C4A5D78"/>
    <w:rsid w:val="7C4B2553"/>
    <w:rsid w:val="7C4B60AF"/>
    <w:rsid w:val="7C4E5B9F"/>
    <w:rsid w:val="7C507B69"/>
    <w:rsid w:val="7C552434"/>
    <w:rsid w:val="7C574A54"/>
    <w:rsid w:val="7C5B09E8"/>
    <w:rsid w:val="7C5E05B6"/>
    <w:rsid w:val="7C5F1B5A"/>
    <w:rsid w:val="7C5F32C3"/>
    <w:rsid w:val="7C603012"/>
    <w:rsid w:val="7C613B24"/>
    <w:rsid w:val="7C670314"/>
    <w:rsid w:val="7C67749B"/>
    <w:rsid w:val="7C684872"/>
    <w:rsid w:val="7C6B6C23"/>
    <w:rsid w:val="7C6D4186"/>
    <w:rsid w:val="7C6F6241"/>
    <w:rsid w:val="7C72188D"/>
    <w:rsid w:val="7C722152"/>
    <w:rsid w:val="7C725D31"/>
    <w:rsid w:val="7C743857"/>
    <w:rsid w:val="7C75137E"/>
    <w:rsid w:val="7C766979"/>
    <w:rsid w:val="7C790E6E"/>
    <w:rsid w:val="7C792C1C"/>
    <w:rsid w:val="7C7970C0"/>
    <w:rsid w:val="7C7A4BE6"/>
    <w:rsid w:val="7C7C0249"/>
    <w:rsid w:val="7C7C095E"/>
    <w:rsid w:val="7C7E6484"/>
    <w:rsid w:val="7C7F141A"/>
    <w:rsid w:val="7C815F74"/>
    <w:rsid w:val="7C835ED8"/>
    <w:rsid w:val="7C855A65"/>
    <w:rsid w:val="7C857813"/>
    <w:rsid w:val="7C8617DD"/>
    <w:rsid w:val="7C86358B"/>
    <w:rsid w:val="7C8810B1"/>
    <w:rsid w:val="7C896BD7"/>
    <w:rsid w:val="7C8C4D0F"/>
    <w:rsid w:val="7C8D4BFF"/>
    <w:rsid w:val="7C8D66C7"/>
    <w:rsid w:val="7C8F4DBF"/>
    <w:rsid w:val="7C9537CE"/>
    <w:rsid w:val="7C961A20"/>
    <w:rsid w:val="7C975798"/>
    <w:rsid w:val="7C977546"/>
    <w:rsid w:val="7C9A0DE4"/>
    <w:rsid w:val="7C9B7036"/>
    <w:rsid w:val="7C9F3768"/>
    <w:rsid w:val="7CA12173"/>
    <w:rsid w:val="7CA26617"/>
    <w:rsid w:val="7CA3413D"/>
    <w:rsid w:val="7CA659DB"/>
    <w:rsid w:val="7CA7060B"/>
    <w:rsid w:val="7CA81753"/>
    <w:rsid w:val="7CAB4D9F"/>
    <w:rsid w:val="7CAF663E"/>
    <w:rsid w:val="7CB44308"/>
    <w:rsid w:val="7CB65C1E"/>
    <w:rsid w:val="7CB71996"/>
    <w:rsid w:val="7CB77BE8"/>
    <w:rsid w:val="7CBB1486"/>
    <w:rsid w:val="7CBC7047"/>
    <w:rsid w:val="7CBD2C36"/>
    <w:rsid w:val="7CBE2D25"/>
    <w:rsid w:val="7CC0084B"/>
    <w:rsid w:val="7CC0265F"/>
    <w:rsid w:val="7CC12815"/>
    <w:rsid w:val="7CC55E61"/>
    <w:rsid w:val="7CC876FF"/>
    <w:rsid w:val="7CCA1B4A"/>
    <w:rsid w:val="7CCC42E8"/>
    <w:rsid w:val="7CCD2F68"/>
    <w:rsid w:val="7CCD4D16"/>
    <w:rsid w:val="7CD07583"/>
    <w:rsid w:val="7CD10CAA"/>
    <w:rsid w:val="7CD12A58"/>
    <w:rsid w:val="7CD2057E"/>
    <w:rsid w:val="7CD42548"/>
    <w:rsid w:val="7CD460A4"/>
    <w:rsid w:val="7CD95DB0"/>
    <w:rsid w:val="7CDB7267"/>
    <w:rsid w:val="7CDE5175"/>
    <w:rsid w:val="7CDE6F23"/>
    <w:rsid w:val="7CE07AA9"/>
    <w:rsid w:val="7CE16A13"/>
    <w:rsid w:val="7CE4244F"/>
    <w:rsid w:val="7CEB418B"/>
    <w:rsid w:val="7CEC1640"/>
    <w:rsid w:val="7CEC7892"/>
    <w:rsid w:val="7CEE2B0C"/>
    <w:rsid w:val="7CF1204D"/>
    <w:rsid w:val="7CF35D61"/>
    <w:rsid w:val="7CF44998"/>
    <w:rsid w:val="7CF60710"/>
    <w:rsid w:val="7CF77FE5"/>
    <w:rsid w:val="7CF95B0B"/>
    <w:rsid w:val="7CFA6C69"/>
    <w:rsid w:val="7CFC5110"/>
    <w:rsid w:val="7CFD384D"/>
    <w:rsid w:val="7D00333D"/>
    <w:rsid w:val="7D0270B5"/>
    <w:rsid w:val="7D0338A2"/>
    <w:rsid w:val="7D034BDB"/>
    <w:rsid w:val="7D044D32"/>
    <w:rsid w:val="7D056BA5"/>
    <w:rsid w:val="7D07647A"/>
    <w:rsid w:val="7D096956"/>
    <w:rsid w:val="7D0A41BC"/>
    <w:rsid w:val="7D0A5F6A"/>
    <w:rsid w:val="7D0C1CE2"/>
    <w:rsid w:val="7D0C3A90"/>
    <w:rsid w:val="7D0C7F34"/>
    <w:rsid w:val="7D0E0AB3"/>
    <w:rsid w:val="7D0F3580"/>
    <w:rsid w:val="7D11554A"/>
    <w:rsid w:val="7D1172F8"/>
    <w:rsid w:val="7D1312C2"/>
    <w:rsid w:val="7D136216"/>
    <w:rsid w:val="7D140B97"/>
    <w:rsid w:val="7D142945"/>
    <w:rsid w:val="7D162B61"/>
    <w:rsid w:val="7D1666BD"/>
    <w:rsid w:val="7D172435"/>
    <w:rsid w:val="7D192609"/>
    <w:rsid w:val="7D1961AD"/>
    <w:rsid w:val="7D197F5B"/>
    <w:rsid w:val="7D1B1B29"/>
    <w:rsid w:val="7D1B1F25"/>
    <w:rsid w:val="7D1B3B82"/>
    <w:rsid w:val="7D1D701A"/>
    <w:rsid w:val="7D1E1A15"/>
    <w:rsid w:val="7D1E1A79"/>
    <w:rsid w:val="7D1E37C3"/>
    <w:rsid w:val="7D1F7C67"/>
    <w:rsid w:val="7D2012E9"/>
    <w:rsid w:val="7D23702C"/>
    <w:rsid w:val="7D250FF6"/>
    <w:rsid w:val="7D276B1C"/>
    <w:rsid w:val="7D292894"/>
    <w:rsid w:val="7D2A03BA"/>
    <w:rsid w:val="7D2B70C2"/>
    <w:rsid w:val="7D2F3C22"/>
    <w:rsid w:val="7D3134F6"/>
    <w:rsid w:val="7D3354C1"/>
    <w:rsid w:val="7D360B0D"/>
    <w:rsid w:val="7D366D5F"/>
    <w:rsid w:val="7D376633"/>
    <w:rsid w:val="7D380D29"/>
    <w:rsid w:val="7D382AD7"/>
    <w:rsid w:val="7D39684F"/>
    <w:rsid w:val="7D3A315F"/>
    <w:rsid w:val="7D3B4375"/>
    <w:rsid w:val="7D3B6123"/>
    <w:rsid w:val="7D3D00ED"/>
    <w:rsid w:val="7D3D1E9B"/>
    <w:rsid w:val="7D3E3E65"/>
    <w:rsid w:val="7D3E6353"/>
    <w:rsid w:val="7D425704"/>
    <w:rsid w:val="7D43322A"/>
    <w:rsid w:val="7D4476CE"/>
    <w:rsid w:val="7D454D96"/>
    <w:rsid w:val="7D494CE4"/>
    <w:rsid w:val="7D4A6A89"/>
    <w:rsid w:val="7D4E22FA"/>
    <w:rsid w:val="7D4F1BCF"/>
    <w:rsid w:val="7D4F7E21"/>
    <w:rsid w:val="7D500768"/>
    <w:rsid w:val="7D50182E"/>
    <w:rsid w:val="7D505C2F"/>
    <w:rsid w:val="7D575A6A"/>
    <w:rsid w:val="7D580A83"/>
    <w:rsid w:val="7D5D078F"/>
    <w:rsid w:val="7D5E0064"/>
    <w:rsid w:val="7D60202E"/>
    <w:rsid w:val="7D603DDC"/>
    <w:rsid w:val="7D641B1E"/>
    <w:rsid w:val="7D67516A"/>
    <w:rsid w:val="7D6C452F"/>
    <w:rsid w:val="7D6D017E"/>
    <w:rsid w:val="7D6E64F9"/>
    <w:rsid w:val="7D6F2271"/>
    <w:rsid w:val="7D6F401F"/>
    <w:rsid w:val="7D715FE9"/>
    <w:rsid w:val="7D7358BD"/>
    <w:rsid w:val="7D741635"/>
    <w:rsid w:val="7D747887"/>
    <w:rsid w:val="7D787377"/>
    <w:rsid w:val="7D7C1D48"/>
    <w:rsid w:val="7D7D2BE0"/>
    <w:rsid w:val="7D80622C"/>
    <w:rsid w:val="7D821FA4"/>
    <w:rsid w:val="7D823D52"/>
    <w:rsid w:val="7D831878"/>
    <w:rsid w:val="7D8335F7"/>
    <w:rsid w:val="7D845D1C"/>
    <w:rsid w:val="7D850AE8"/>
    <w:rsid w:val="7D853842"/>
    <w:rsid w:val="7D871368"/>
    <w:rsid w:val="7D87580C"/>
    <w:rsid w:val="7D8775BA"/>
    <w:rsid w:val="7D8950E1"/>
    <w:rsid w:val="7D8B70AB"/>
    <w:rsid w:val="7D8C4BD1"/>
    <w:rsid w:val="7D8D09BB"/>
    <w:rsid w:val="7D8E0949"/>
    <w:rsid w:val="7D8E0CD4"/>
    <w:rsid w:val="7D8E5E30"/>
    <w:rsid w:val="7D913F95"/>
    <w:rsid w:val="7D9341B1"/>
    <w:rsid w:val="7D965A4F"/>
    <w:rsid w:val="7D97460B"/>
    <w:rsid w:val="7D982B95"/>
    <w:rsid w:val="7D983576"/>
    <w:rsid w:val="7D9F66B2"/>
    <w:rsid w:val="7DA0067C"/>
    <w:rsid w:val="7DA0129B"/>
    <w:rsid w:val="7DA0242A"/>
    <w:rsid w:val="7DA37E53"/>
    <w:rsid w:val="7DA8331F"/>
    <w:rsid w:val="7DAC0DCF"/>
    <w:rsid w:val="7DAC7021"/>
    <w:rsid w:val="7DB163E5"/>
    <w:rsid w:val="7DB36601"/>
    <w:rsid w:val="7DB44FF6"/>
    <w:rsid w:val="7DB55ED6"/>
    <w:rsid w:val="7DB639FC"/>
    <w:rsid w:val="7DB83C18"/>
    <w:rsid w:val="7DBA34EC"/>
    <w:rsid w:val="7DBB1AC4"/>
    <w:rsid w:val="7DBD4D8A"/>
    <w:rsid w:val="7DBE0C79"/>
    <w:rsid w:val="7DC10D1E"/>
    <w:rsid w:val="7DC22078"/>
    <w:rsid w:val="7DC425BD"/>
    <w:rsid w:val="7DC91981"/>
    <w:rsid w:val="7DC974CD"/>
    <w:rsid w:val="7DCD75AF"/>
    <w:rsid w:val="7DCE6F97"/>
    <w:rsid w:val="7DCF4ABD"/>
    <w:rsid w:val="7DD10836"/>
    <w:rsid w:val="7DD56578"/>
    <w:rsid w:val="7DD83D97"/>
    <w:rsid w:val="7DDB3462"/>
    <w:rsid w:val="7DDC28F6"/>
    <w:rsid w:val="7DDE4EC6"/>
    <w:rsid w:val="7DE04732"/>
    <w:rsid w:val="7DE06CCB"/>
    <w:rsid w:val="7DE20C95"/>
    <w:rsid w:val="7DE22A43"/>
    <w:rsid w:val="7DE47BFE"/>
    <w:rsid w:val="7DE71E07"/>
    <w:rsid w:val="7DED6E33"/>
    <w:rsid w:val="7DEE7639"/>
    <w:rsid w:val="7DEF11E8"/>
    <w:rsid w:val="7DF033B2"/>
    <w:rsid w:val="7DF36428"/>
    <w:rsid w:val="7DF406F2"/>
    <w:rsid w:val="7DF610A9"/>
    <w:rsid w:val="7DF764EE"/>
    <w:rsid w:val="7DF82266"/>
    <w:rsid w:val="7DF86B91"/>
    <w:rsid w:val="7DFA5FDE"/>
    <w:rsid w:val="7DFA70C4"/>
    <w:rsid w:val="7DFB4BB9"/>
    <w:rsid w:val="7DFC1D56"/>
    <w:rsid w:val="7DFC3B04"/>
    <w:rsid w:val="7DFE04F1"/>
    <w:rsid w:val="7DFF1847"/>
    <w:rsid w:val="7DFF2503"/>
    <w:rsid w:val="7DFF35F5"/>
    <w:rsid w:val="7DFF53A3"/>
    <w:rsid w:val="7E01111B"/>
    <w:rsid w:val="7E024A8C"/>
    <w:rsid w:val="7E052486"/>
    <w:rsid w:val="7E064983"/>
    <w:rsid w:val="7E094473"/>
    <w:rsid w:val="7E0C7A4E"/>
    <w:rsid w:val="7E100520"/>
    <w:rsid w:val="7E10135E"/>
    <w:rsid w:val="7E1075B0"/>
    <w:rsid w:val="7E123328"/>
    <w:rsid w:val="7E132BFC"/>
    <w:rsid w:val="7E1352F2"/>
    <w:rsid w:val="7E1365B7"/>
    <w:rsid w:val="7E152E18"/>
    <w:rsid w:val="7E152F02"/>
    <w:rsid w:val="7E192908"/>
    <w:rsid w:val="7E1A3F8B"/>
    <w:rsid w:val="7E1B6D74"/>
    <w:rsid w:val="7E1C7D03"/>
    <w:rsid w:val="7E2412AD"/>
    <w:rsid w:val="7E24305B"/>
    <w:rsid w:val="7E244E09"/>
    <w:rsid w:val="7E260B81"/>
    <w:rsid w:val="7E281378"/>
    <w:rsid w:val="7E2968C4"/>
    <w:rsid w:val="7E2C3CBE"/>
    <w:rsid w:val="7E2D569D"/>
    <w:rsid w:val="7E2E2619"/>
    <w:rsid w:val="7E3314F0"/>
    <w:rsid w:val="7E33504C"/>
    <w:rsid w:val="7E34648B"/>
    <w:rsid w:val="7E355268"/>
    <w:rsid w:val="7E372D8F"/>
    <w:rsid w:val="7E386B07"/>
    <w:rsid w:val="7E3A462D"/>
    <w:rsid w:val="7E3C65F7"/>
    <w:rsid w:val="7E3E411D"/>
    <w:rsid w:val="7E3E7C97"/>
    <w:rsid w:val="7E3F712D"/>
    <w:rsid w:val="7E3F7E95"/>
    <w:rsid w:val="7E4159BB"/>
    <w:rsid w:val="7E417769"/>
    <w:rsid w:val="7E421F1F"/>
    <w:rsid w:val="7E4436FD"/>
    <w:rsid w:val="7E4454AB"/>
    <w:rsid w:val="7E494548"/>
    <w:rsid w:val="7E4B4A8C"/>
    <w:rsid w:val="7E4C5BA2"/>
    <w:rsid w:val="7E4E602F"/>
    <w:rsid w:val="7E503BFB"/>
    <w:rsid w:val="7E517AF9"/>
    <w:rsid w:val="7E521976"/>
    <w:rsid w:val="7E532EA4"/>
    <w:rsid w:val="7E553215"/>
    <w:rsid w:val="7E573431"/>
    <w:rsid w:val="7E576F8D"/>
    <w:rsid w:val="7E582D05"/>
    <w:rsid w:val="7E584AB3"/>
    <w:rsid w:val="7E5C0A47"/>
    <w:rsid w:val="7E5D031B"/>
    <w:rsid w:val="7E5E47BF"/>
    <w:rsid w:val="7E5E6743"/>
    <w:rsid w:val="7E5E733A"/>
    <w:rsid w:val="7E5F4018"/>
    <w:rsid w:val="7E611BB9"/>
    <w:rsid w:val="7E617E0B"/>
    <w:rsid w:val="7E6478FC"/>
    <w:rsid w:val="7E663674"/>
    <w:rsid w:val="7E68119A"/>
    <w:rsid w:val="7E6A655A"/>
    <w:rsid w:val="7E6B2A38"/>
    <w:rsid w:val="7E6B6EDC"/>
    <w:rsid w:val="7E6D4A02"/>
    <w:rsid w:val="7E6E636B"/>
    <w:rsid w:val="7E6F077A"/>
    <w:rsid w:val="7E70004F"/>
    <w:rsid w:val="7E745D91"/>
    <w:rsid w:val="7E7538B7"/>
    <w:rsid w:val="7E760E0F"/>
    <w:rsid w:val="7E784D07"/>
    <w:rsid w:val="7E7A0ECD"/>
    <w:rsid w:val="7E7A711F"/>
    <w:rsid w:val="7E7C227A"/>
    <w:rsid w:val="7E7C7258"/>
    <w:rsid w:val="7E7F0292"/>
    <w:rsid w:val="7E7F0A31"/>
    <w:rsid w:val="7E802674"/>
    <w:rsid w:val="7E8448A3"/>
    <w:rsid w:val="7E851D4C"/>
    <w:rsid w:val="7E891110"/>
    <w:rsid w:val="7E8B30DA"/>
    <w:rsid w:val="7E8B4E88"/>
    <w:rsid w:val="7E8B6FD4"/>
    <w:rsid w:val="7E8C3035"/>
    <w:rsid w:val="7E8D29AE"/>
    <w:rsid w:val="7E921135"/>
    <w:rsid w:val="7E927FC5"/>
    <w:rsid w:val="7E933D3D"/>
    <w:rsid w:val="7E957AB5"/>
    <w:rsid w:val="7E9957F7"/>
    <w:rsid w:val="7E997407"/>
    <w:rsid w:val="7E9975A5"/>
    <w:rsid w:val="7E9B205F"/>
    <w:rsid w:val="7E9C52E7"/>
    <w:rsid w:val="7E9F26E2"/>
    <w:rsid w:val="7EA146AC"/>
    <w:rsid w:val="7EA45F4A"/>
    <w:rsid w:val="7EA67F14"/>
    <w:rsid w:val="7EA85A3A"/>
    <w:rsid w:val="7EAA512E"/>
    <w:rsid w:val="7EAB72D9"/>
    <w:rsid w:val="7EAD12A3"/>
    <w:rsid w:val="7EAE25EB"/>
    <w:rsid w:val="7EAE4BA1"/>
    <w:rsid w:val="7EB02B41"/>
    <w:rsid w:val="7EB044B9"/>
    <w:rsid w:val="7EB20667"/>
    <w:rsid w:val="7EB22415"/>
    <w:rsid w:val="7EB42631"/>
    <w:rsid w:val="7EB51F05"/>
    <w:rsid w:val="7EB663A9"/>
    <w:rsid w:val="7EB838C2"/>
    <w:rsid w:val="7EB96DEB"/>
    <w:rsid w:val="7EBB4972"/>
    <w:rsid w:val="7EBC14E6"/>
    <w:rsid w:val="7EBC7738"/>
    <w:rsid w:val="7EBE525E"/>
    <w:rsid w:val="7EBE700C"/>
    <w:rsid w:val="7EC00FD6"/>
    <w:rsid w:val="7EC108AA"/>
    <w:rsid w:val="7EC14D4E"/>
    <w:rsid w:val="7EC3792E"/>
    <w:rsid w:val="7EC62364"/>
    <w:rsid w:val="7EC65650"/>
    <w:rsid w:val="7EC65EC0"/>
    <w:rsid w:val="7EC9775F"/>
    <w:rsid w:val="7ECA0929"/>
    <w:rsid w:val="7ECB3710"/>
    <w:rsid w:val="7ECC6D87"/>
    <w:rsid w:val="7ECF746B"/>
    <w:rsid w:val="7ED24865"/>
    <w:rsid w:val="7ED93E46"/>
    <w:rsid w:val="7EDB04AB"/>
    <w:rsid w:val="7EDC1B88"/>
    <w:rsid w:val="7EE03426"/>
    <w:rsid w:val="7EE12CFA"/>
    <w:rsid w:val="7EE50A3C"/>
    <w:rsid w:val="7EE822DB"/>
    <w:rsid w:val="7EEA1BAF"/>
    <w:rsid w:val="7EEA6053"/>
    <w:rsid w:val="7EED45E6"/>
    <w:rsid w:val="7EF14C2E"/>
    <w:rsid w:val="7EF173E1"/>
    <w:rsid w:val="7EF24F07"/>
    <w:rsid w:val="7EF55F93"/>
    <w:rsid w:val="7EF742CC"/>
    <w:rsid w:val="7EF944E8"/>
    <w:rsid w:val="7EF96296"/>
    <w:rsid w:val="7EFE38AC"/>
    <w:rsid w:val="7EFE565A"/>
    <w:rsid w:val="7EFF77F6"/>
    <w:rsid w:val="7F0013D2"/>
    <w:rsid w:val="7F031A27"/>
    <w:rsid w:val="7F052E8D"/>
    <w:rsid w:val="7F072F79"/>
    <w:rsid w:val="7F0864D9"/>
    <w:rsid w:val="7F0945F7"/>
    <w:rsid w:val="7F0A04A3"/>
    <w:rsid w:val="7F0A3FFF"/>
    <w:rsid w:val="7F0D21BA"/>
    <w:rsid w:val="7F0F428D"/>
    <w:rsid w:val="7F1107D4"/>
    <w:rsid w:val="7F111831"/>
    <w:rsid w:val="7F136744"/>
    <w:rsid w:val="7F166E48"/>
    <w:rsid w:val="7F17671C"/>
    <w:rsid w:val="7F182BC0"/>
    <w:rsid w:val="7F1B0294"/>
    <w:rsid w:val="7F1B26B0"/>
    <w:rsid w:val="7F1C4477"/>
    <w:rsid w:val="7F1F5F03"/>
    <w:rsid w:val="7F207CC7"/>
    <w:rsid w:val="7F21759B"/>
    <w:rsid w:val="7F233313"/>
    <w:rsid w:val="7F243BE2"/>
    <w:rsid w:val="7F250E39"/>
    <w:rsid w:val="7F2552DD"/>
    <w:rsid w:val="7F25708B"/>
    <w:rsid w:val="7F2619A9"/>
    <w:rsid w:val="7F29028D"/>
    <w:rsid w:val="7F2A46A1"/>
    <w:rsid w:val="7F315A30"/>
    <w:rsid w:val="7F323556"/>
    <w:rsid w:val="7F343772"/>
    <w:rsid w:val="7F345520"/>
    <w:rsid w:val="7F3472CE"/>
    <w:rsid w:val="7F376DBE"/>
    <w:rsid w:val="7F3B240A"/>
    <w:rsid w:val="7F3C6183"/>
    <w:rsid w:val="7F3D1BB8"/>
    <w:rsid w:val="7F3E014D"/>
    <w:rsid w:val="7F3E1EFB"/>
    <w:rsid w:val="7F3E5C19"/>
    <w:rsid w:val="7F402117"/>
    <w:rsid w:val="7F427C3D"/>
    <w:rsid w:val="7F430306"/>
    <w:rsid w:val="7F435763"/>
    <w:rsid w:val="7F4514DB"/>
    <w:rsid w:val="7F464EEE"/>
    <w:rsid w:val="7F477001"/>
    <w:rsid w:val="7F480FCB"/>
    <w:rsid w:val="7F4D213E"/>
    <w:rsid w:val="7F4F4108"/>
    <w:rsid w:val="7F4F5EB6"/>
    <w:rsid w:val="7F5259A6"/>
    <w:rsid w:val="7F531E4A"/>
    <w:rsid w:val="7F55690C"/>
    <w:rsid w:val="7F5636E8"/>
    <w:rsid w:val="7F565496"/>
    <w:rsid w:val="7F567244"/>
    <w:rsid w:val="7F587460"/>
    <w:rsid w:val="7F596D35"/>
    <w:rsid w:val="7F5B0CFF"/>
    <w:rsid w:val="7F5F07EF"/>
    <w:rsid w:val="7F6000C3"/>
    <w:rsid w:val="7F6026F4"/>
    <w:rsid w:val="7F623E3B"/>
    <w:rsid w:val="7F645E05"/>
    <w:rsid w:val="7F6616B7"/>
    <w:rsid w:val="7F671451"/>
    <w:rsid w:val="7F6851CA"/>
    <w:rsid w:val="7F687E94"/>
    <w:rsid w:val="7F6A2CF0"/>
    <w:rsid w:val="7F71407E"/>
    <w:rsid w:val="7F7166CB"/>
    <w:rsid w:val="7F736048"/>
    <w:rsid w:val="7F737DF6"/>
    <w:rsid w:val="7F74752A"/>
    <w:rsid w:val="7F787239"/>
    <w:rsid w:val="7F7D0C75"/>
    <w:rsid w:val="7F7D2A23"/>
    <w:rsid w:val="7F7D4471"/>
    <w:rsid w:val="7F800765"/>
    <w:rsid w:val="7F8059CD"/>
    <w:rsid w:val="7F820039"/>
    <w:rsid w:val="7F842003"/>
    <w:rsid w:val="7F875650"/>
    <w:rsid w:val="7F8D1710"/>
    <w:rsid w:val="7F8F2756"/>
    <w:rsid w:val="7F8F6BFA"/>
    <w:rsid w:val="7F912972"/>
    <w:rsid w:val="7F914720"/>
    <w:rsid w:val="7F9452D1"/>
    <w:rsid w:val="7F947D6D"/>
    <w:rsid w:val="7F954211"/>
    <w:rsid w:val="7F963AE5"/>
    <w:rsid w:val="7F967F89"/>
    <w:rsid w:val="7F9727B3"/>
    <w:rsid w:val="7F9935D5"/>
    <w:rsid w:val="7F9B10FB"/>
    <w:rsid w:val="7F9D1317"/>
    <w:rsid w:val="7F9D30C5"/>
    <w:rsid w:val="7F9F6E3D"/>
    <w:rsid w:val="7FA02BB5"/>
    <w:rsid w:val="7FA2248A"/>
    <w:rsid w:val="7FA278D5"/>
    <w:rsid w:val="7FA426A6"/>
    <w:rsid w:val="7FA44454"/>
    <w:rsid w:val="7FA5097B"/>
    <w:rsid w:val="7FA63521"/>
    <w:rsid w:val="7FA93818"/>
    <w:rsid w:val="7FAA57E2"/>
    <w:rsid w:val="7FAA7590"/>
    <w:rsid w:val="7FAB699F"/>
    <w:rsid w:val="7FAC3308"/>
    <w:rsid w:val="7FB34697"/>
    <w:rsid w:val="7FB4040F"/>
    <w:rsid w:val="7FB56661"/>
    <w:rsid w:val="7FB623D9"/>
    <w:rsid w:val="7FB65F35"/>
    <w:rsid w:val="7FB777D7"/>
    <w:rsid w:val="7FBA3C77"/>
    <w:rsid w:val="7FBA5A25"/>
    <w:rsid w:val="7FBB23CA"/>
    <w:rsid w:val="7FBF4126"/>
    <w:rsid w:val="7FC20D7E"/>
    <w:rsid w:val="7FC22B2C"/>
    <w:rsid w:val="7FC40652"/>
    <w:rsid w:val="7FC41B9B"/>
    <w:rsid w:val="7FC70142"/>
    <w:rsid w:val="7FC76394"/>
    <w:rsid w:val="7FC8567D"/>
    <w:rsid w:val="7FC91006"/>
    <w:rsid w:val="7FCC5758"/>
    <w:rsid w:val="7FCC7507"/>
    <w:rsid w:val="7FCE14D1"/>
    <w:rsid w:val="7FD05249"/>
    <w:rsid w:val="7FD14B1D"/>
    <w:rsid w:val="7FD42D0C"/>
    <w:rsid w:val="7FD50AB1"/>
    <w:rsid w:val="7FD82F57"/>
    <w:rsid w:val="7FD840FD"/>
    <w:rsid w:val="7FDD5BB8"/>
    <w:rsid w:val="7FDF36DE"/>
    <w:rsid w:val="7FE24F7C"/>
    <w:rsid w:val="7FE3437B"/>
    <w:rsid w:val="7FE5681A"/>
    <w:rsid w:val="7FE56D6D"/>
    <w:rsid w:val="7FE84988"/>
    <w:rsid w:val="7FE9455C"/>
    <w:rsid w:val="7FEA5BDF"/>
    <w:rsid w:val="7FEC35BC"/>
    <w:rsid w:val="7FED3970"/>
    <w:rsid w:val="7FF01447"/>
    <w:rsid w:val="7FF12162"/>
    <w:rsid w:val="7FF30F37"/>
    <w:rsid w:val="7FF336DB"/>
    <w:rsid w:val="7FF54CAF"/>
    <w:rsid w:val="7FF56A5D"/>
    <w:rsid w:val="7FFA5204"/>
    <w:rsid w:val="7FFB1A22"/>
    <w:rsid w:val="7FFC23FC"/>
    <w:rsid w:val="7FFC4290"/>
    <w:rsid w:val="7FFF5B2E"/>
    <w:rsid w:val="7FFF6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7"/>
    <w:autoRedefine/>
    <w:unhideWhenUsed/>
    <w:qFormat/>
    <w:uiPriority w:val="9"/>
    <w:pPr>
      <w:keepNext/>
      <w:keepLines/>
      <w:spacing w:before="260" w:after="260" w:line="416" w:lineRule="auto"/>
      <w:outlineLvl w:val="2"/>
    </w:pPr>
    <w:rPr>
      <w:b/>
      <w:bCs/>
      <w:kern w:val="0"/>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snapToGrid w:val="0"/>
      <w:spacing w:line="360" w:lineRule="auto"/>
      <w:ind w:firstLine="567" w:firstLineChars="200"/>
    </w:pPr>
    <w:rPr>
      <w:rFonts w:ascii="宋体" w:hAnsi="宋体" w:eastAsia="仿宋"/>
      <w:sz w:val="28"/>
    </w:rPr>
  </w:style>
  <w:style w:type="paragraph" w:styleId="6">
    <w:name w:val="annotation text"/>
    <w:basedOn w:val="1"/>
    <w:link w:val="28"/>
    <w:autoRedefine/>
    <w:unhideWhenUsed/>
    <w:qFormat/>
    <w:uiPriority w:val="99"/>
    <w:pPr>
      <w:jc w:val="left"/>
    </w:pPr>
  </w:style>
  <w:style w:type="paragraph" w:styleId="7">
    <w:name w:val="Body Text"/>
    <w:basedOn w:val="1"/>
    <w:link w:val="140"/>
    <w:autoRedefine/>
    <w:qFormat/>
    <w:uiPriority w:val="99"/>
    <w:pPr>
      <w:spacing w:after="120" w:line="300" w:lineRule="auto"/>
      <w:ind w:firstLine="200" w:firstLineChars="200"/>
    </w:pPr>
    <w:rPr>
      <w:rFonts w:ascii="Calibri" w:hAnsi="Calibri" w:eastAsia="宋体" w:cs="Times New Roman"/>
      <w:sz w:val="24"/>
      <w:szCs w:val="24"/>
    </w:rPr>
  </w:style>
  <w:style w:type="paragraph" w:styleId="8">
    <w:name w:val="Body Text Indent"/>
    <w:basedOn w:val="1"/>
    <w:next w:val="9"/>
    <w:autoRedefine/>
    <w:unhideWhenUsed/>
    <w:qFormat/>
    <w:uiPriority w:val="0"/>
    <w:pPr>
      <w:spacing w:after="120"/>
      <w:ind w:left="420" w:leftChars="200"/>
    </w:pPr>
  </w:style>
  <w:style w:type="paragraph" w:customStyle="1" w:styleId="9">
    <w:name w:val="样式 正文文本缩进 + 行距: 1.5 倍行距"/>
    <w:basedOn w:val="8"/>
    <w:autoRedefine/>
    <w:qFormat/>
    <w:uiPriority w:val="0"/>
    <w:pPr>
      <w:ind w:left="90" w:leftChars="32" w:firstLine="560"/>
    </w:pPr>
    <w:rPr>
      <w:rFonts w:cs="宋体"/>
    </w:rPr>
  </w:style>
  <w:style w:type="paragraph" w:styleId="10">
    <w:name w:val="toc 3"/>
    <w:basedOn w:val="1"/>
    <w:next w:val="1"/>
    <w:autoRedefine/>
    <w:unhideWhenUsed/>
    <w:qFormat/>
    <w:uiPriority w:val="39"/>
    <w:pPr>
      <w:widowControl/>
      <w:spacing w:after="100" w:line="276" w:lineRule="auto"/>
      <w:ind w:left="440"/>
      <w:jc w:val="left"/>
    </w:pPr>
    <w:rPr>
      <w:kern w:val="0"/>
      <w:sz w:val="22"/>
    </w:rPr>
  </w:style>
  <w:style w:type="paragraph" w:styleId="11">
    <w:name w:val="Date"/>
    <w:basedOn w:val="1"/>
    <w:next w:val="1"/>
    <w:link w:val="30"/>
    <w:autoRedefine/>
    <w:unhideWhenUsed/>
    <w:qFormat/>
    <w:uiPriority w:val="99"/>
    <w:pPr>
      <w:ind w:left="100" w:leftChars="2500"/>
    </w:pPr>
  </w:style>
  <w:style w:type="paragraph" w:styleId="12">
    <w:name w:val="Balloon Text"/>
    <w:basedOn w:val="1"/>
    <w:link w:val="31"/>
    <w:autoRedefine/>
    <w:unhideWhenUsed/>
    <w:qFormat/>
    <w:uiPriority w:val="99"/>
    <w:rPr>
      <w:sz w:val="18"/>
      <w:szCs w:val="18"/>
    </w:rPr>
  </w:style>
  <w:style w:type="paragraph" w:styleId="13">
    <w:name w:val="footer"/>
    <w:basedOn w:val="1"/>
    <w:link w:val="32"/>
    <w:autoRedefine/>
    <w:unhideWhenUsed/>
    <w:qFormat/>
    <w:uiPriority w:val="99"/>
    <w:pPr>
      <w:tabs>
        <w:tab w:val="center" w:pos="4153"/>
        <w:tab w:val="right" w:pos="8306"/>
      </w:tabs>
      <w:snapToGrid w:val="0"/>
      <w:jc w:val="left"/>
    </w:pPr>
    <w:rPr>
      <w:sz w:val="18"/>
      <w:szCs w:val="18"/>
    </w:rPr>
  </w:style>
  <w:style w:type="paragraph" w:styleId="14">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widowControl/>
      <w:spacing w:after="100" w:line="276" w:lineRule="auto"/>
      <w:jc w:val="left"/>
    </w:pPr>
    <w:rPr>
      <w:rFonts w:eastAsia="仿宋"/>
      <w:b/>
      <w:kern w:val="0"/>
      <w:sz w:val="22"/>
    </w:rPr>
  </w:style>
  <w:style w:type="paragraph" w:styleId="16">
    <w:name w:val="toc 2"/>
    <w:basedOn w:val="1"/>
    <w:next w:val="1"/>
    <w:autoRedefine/>
    <w:unhideWhenUsed/>
    <w:qFormat/>
    <w:uiPriority w:val="39"/>
    <w:pPr>
      <w:widowControl/>
      <w:spacing w:after="100" w:line="276" w:lineRule="auto"/>
      <w:ind w:left="220"/>
      <w:jc w:val="left"/>
    </w:pPr>
    <w:rPr>
      <w:rFonts w:eastAsia="仿宋"/>
      <w:kern w:val="0"/>
      <w:sz w:val="22"/>
    </w:rPr>
  </w:style>
  <w:style w:type="paragraph" w:styleId="17">
    <w:name w:val="annotation subject"/>
    <w:basedOn w:val="6"/>
    <w:next w:val="6"/>
    <w:link w:val="29"/>
    <w:autoRedefine/>
    <w:unhideWhenUsed/>
    <w:qFormat/>
    <w:uiPriority w:val="99"/>
    <w:rPr>
      <w:b/>
      <w:bCs/>
    </w:rPr>
  </w:style>
  <w:style w:type="paragraph" w:styleId="18">
    <w:name w:val="Body Text First Indent 2"/>
    <w:basedOn w:val="8"/>
    <w:next w:val="1"/>
    <w:autoRedefine/>
    <w:qFormat/>
    <w:uiPriority w:val="99"/>
    <w:pPr>
      <w:ind w:firstLine="420"/>
    </w:p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FollowedHyperlink"/>
    <w:basedOn w:val="21"/>
    <w:autoRedefine/>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1"/>
    <w:autoRedefine/>
    <w:unhideWhenUsed/>
    <w:qFormat/>
    <w:uiPriority w:val="99"/>
    <w:rPr>
      <w:color w:val="0000FF" w:themeColor="hyperlink"/>
      <w:u w:val="single"/>
      <w14:textFill>
        <w14:solidFill>
          <w14:schemeClr w14:val="hlink"/>
        </w14:solidFill>
      </w14:textFill>
    </w:rPr>
  </w:style>
  <w:style w:type="character" w:styleId="25">
    <w:name w:val="annotation reference"/>
    <w:basedOn w:val="21"/>
    <w:autoRedefine/>
    <w:unhideWhenUsed/>
    <w:qFormat/>
    <w:uiPriority w:val="99"/>
    <w:rPr>
      <w:sz w:val="21"/>
      <w:szCs w:val="21"/>
    </w:rPr>
  </w:style>
  <w:style w:type="character" w:customStyle="1" w:styleId="26">
    <w:name w:val="标题 1 Char"/>
    <w:basedOn w:val="21"/>
    <w:link w:val="2"/>
    <w:autoRedefine/>
    <w:qFormat/>
    <w:uiPriority w:val="9"/>
    <w:rPr>
      <w:b/>
      <w:bCs/>
      <w:kern w:val="44"/>
      <w:sz w:val="44"/>
      <w:szCs w:val="44"/>
    </w:rPr>
  </w:style>
  <w:style w:type="character" w:customStyle="1" w:styleId="27">
    <w:name w:val="标题 2 Char"/>
    <w:basedOn w:val="21"/>
    <w:link w:val="3"/>
    <w:autoRedefine/>
    <w:qFormat/>
    <w:uiPriority w:val="9"/>
    <w:rPr>
      <w:rFonts w:asciiTheme="majorHAnsi" w:hAnsiTheme="majorHAnsi" w:eastAsiaTheme="majorEastAsia" w:cstheme="majorBidi"/>
      <w:b/>
      <w:bCs/>
      <w:kern w:val="2"/>
      <w:sz w:val="32"/>
      <w:szCs w:val="32"/>
    </w:rPr>
  </w:style>
  <w:style w:type="character" w:customStyle="1" w:styleId="28">
    <w:name w:val="批注文字 Char1"/>
    <w:basedOn w:val="21"/>
    <w:link w:val="6"/>
    <w:autoRedefine/>
    <w:qFormat/>
    <w:uiPriority w:val="99"/>
  </w:style>
  <w:style w:type="character" w:customStyle="1" w:styleId="29">
    <w:name w:val="批注主题 Char"/>
    <w:basedOn w:val="28"/>
    <w:link w:val="17"/>
    <w:autoRedefine/>
    <w:qFormat/>
    <w:uiPriority w:val="99"/>
    <w:rPr>
      <w:b/>
      <w:bCs/>
    </w:rPr>
  </w:style>
  <w:style w:type="character" w:customStyle="1" w:styleId="30">
    <w:name w:val="日期 Char"/>
    <w:basedOn w:val="21"/>
    <w:link w:val="11"/>
    <w:autoRedefine/>
    <w:qFormat/>
    <w:uiPriority w:val="99"/>
  </w:style>
  <w:style w:type="character" w:customStyle="1" w:styleId="31">
    <w:name w:val="批注框文本 Char"/>
    <w:basedOn w:val="21"/>
    <w:link w:val="12"/>
    <w:autoRedefine/>
    <w:qFormat/>
    <w:uiPriority w:val="99"/>
    <w:rPr>
      <w:sz w:val="18"/>
      <w:szCs w:val="18"/>
    </w:rPr>
  </w:style>
  <w:style w:type="character" w:customStyle="1" w:styleId="32">
    <w:name w:val="页脚 Char"/>
    <w:basedOn w:val="21"/>
    <w:link w:val="13"/>
    <w:autoRedefine/>
    <w:qFormat/>
    <w:uiPriority w:val="99"/>
    <w:rPr>
      <w:sz w:val="18"/>
      <w:szCs w:val="18"/>
    </w:rPr>
  </w:style>
  <w:style w:type="character" w:customStyle="1" w:styleId="33">
    <w:name w:val="页眉 Char"/>
    <w:basedOn w:val="21"/>
    <w:link w:val="14"/>
    <w:autoRedefine/>
    <w:qFormat/>
    <w:uiPriority w:val="99"/>
    <w:rPr>
      <w:sz w:val="18"/>
      <w:szCs w:val="18"/>
    </w:rPr>
  </w:style>
  <w:style w:type="table" w:customStyle="1" w:styleId="34">
    <w:name w:val="网格型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
    <w:name w:val="网格型2"/>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网格型3"/>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
    <w:name w:val="网格型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网格型5"/>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6"/>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7"/>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8"/>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网格型9"/>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
    <w:name w:val="网格型10"/>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网格型1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
    <w:name w:val="网格型12"/>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网格型13"/>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7">
    <w:name w:val="网格型1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49">
    <w:name w:val="List Paragraph"/>
    <w:basedOn w:val="1"/>
    <w:autoRedefine/>
    <w:qFormat/>
    <w:uiPriority w:val="34"/>
    <w:pPr>
      <w:ind w:firstLine="420" w:firstLineChars="200"/>
    </w:pPr>
  </w:style>
  <w:style w:type="table" w:customStyle="1" w:styleId="50">
    <w:name w:val="网格型15"/>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1">
    <w:name w:val="网格型16"/>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
    <w:name w:val="网格型17"/>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
    <w:name w:val="网格型18"/>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
    <w:name w:val="网格型2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
    <w:name w:val="网格型3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网格型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7">
    <w:name w:val="网格型5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
    <w:name w:val="网格型6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网格型7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网格型8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网格型9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10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11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12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13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网格型1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15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16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
    <w:name w:val="样式 样式 样式 首行缩进:  2 字符 + 首行缩进:  2 字符 + 首行缩进:  2 字符"/>
    <w:basedOn w:val="1"/>
    <w:autoRedefine/>
    <w:qFormat/>
    <w:uiPriority w:val="0"/>
    <w:pPr>
      <w:spacing w:line="360" w:lineRule="auto"/>
    </w:pPr>
    <w:rPr>
      <w:rFonts w:ascii="Arial" w:hAnsi="Arial" w:eastAsia="新宋体" w:cs="宋体"/>
      <w:sz w:val="24"/>
      <w:szCs w:val="20"/>
    </w:rPr>
  </w:style>
  <w:style w:type="table" w:customStyle="1" w:styleId="70">
    <w:name w:val="网格型19"/>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
    <w:name w:val="网格型11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
    <w:name w:val="网格型9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
    <w:name w:val="网格型110"/>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网格型12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
    <w:name w:val="网格型7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网格型2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
    <w:name w:val="网格型14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网格型10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网格型8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网格型3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网格型13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网格型6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网格型5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4">
    <w:name w:val="网格型4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5">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86">
    <w:name w:val="TOC 标题2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87">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88">
    <w:name w:val="批注文字 Char"/>
    <w:basedOn w:val="21"/>
    <w:autoRedefine/>
    <w:qFormat/>
    <w:uiPriority w:val="99"/>
  </w:style>
  <w:style w:type="character" w:customStyle="1" w:styleId="89">
    <w:name w:val="页眉 字符1"/>
    <w:basedOn w:val="21"/>
    <w:autoRedefine/>
    <w:semiHidden/>
    <w:qFormat/>
    <w:uiPriority w:val="99"/>
    <w:rPr>
      <w:kern w:val="2"/>
      <w:sz w:val="18"/>
      <w:szCs w:val="18"/>
    </w:rPr>
  </w:style>
  <w:style w:type="character" w:customStyle="1" w:styleId="90">
    <w:name w:val="页脚 字符1"/>
    <w:basedOn w:val="21"/>
    <w:autoRedefine/>
    <w:semiHidden/>
    <w:qFormat/>
    <w:uiPriority w:val="99"/>
    <w:rPr>
      <w:kern w:val="2"/>
      <w:sz w:val="18"/>
      <w:szCs w:val="18"/>
    </w:rPr>
  </w:style>
  <w:style w:type="character" w:customStyle="1" w:styleId="91">
    <w:name w:val="批注框文本 字符1"/>
    <w:basedOn w:val="21"/>
    <w:autoRedefine/>
    <w:semiHidden/>
    <w:qFormat/>
    <w:uiPriority w:val="99"/>
    <w:rPr>
      <w:kern w:val="2"/>
      <w:sz w:val="18"/>
      <w:szCs w:val="18"/>
    </w:rPr>
  </w:style>
  <w:style w:type="character" w:customStyle="1" w:styleId="92">
    <w:name w:val="批注文字 字符1"/>
    <w:basedOn w:val="21"/>
    <w:autoRedefine/>
    <w:semiHidden/>
    <w:qFormat/>
    <w:uiPriority w:val="99"/>
    <w:rPr>
      <w:kern w:val="2"/>
      <w:sz w:val="21"/>
      <w:szCs w:val="22"/>
    </w:rPr>
  </w:style>
  <w:style w:type="character" w:customStyle="1" w:styleId="93">
    <w:name w:val="批注主题 字符1"/>
    <w:basedOn w:val="92"/>
    <w:autoRedefine/>
    <w:semiHidden/>
    <w:qFormat/>
    <w:uiPriority w:val="99"/>
    <w:rPr>
      <w:b/>
      <w:bCs/>
      <w:kern w:val="2"/>
      <w:sz w:val="21"/>
      <w:szCs w:val="22"/>
    </w:rPr>
  </w:style>
  <w:style w:type="character" w:customStyle="1" w:styleId="94">
    <w:name w:val="日期 字符1"/>
    <w:basedOn w:val="21"/>
    <w:autoRedefine/>
    <w:semiHidden/>
    <w:qFormat/>
    <w:uiPriority w:val="99"/>
    <w:rPr>
      <w:kern w:val="2"/>
      <w:sz w:val="21"/>
      <w:szCs w:val="22"/>
    </w:rPr>
  </w:style>
  <w:style w:type="paragraph" w:customStyle="1" w:styleId="95">
    <w:name w:val="TOC 标题3"/>
    <w:basedOn w:val="2"/>
    <w:next w:val="1"/>
    <w:autoRedefine/>
    <w:unhideWhenUsed/>
    <w:qFormat/>
    <w:uiPriority w:val="39"/>
    <w:pPr>
      <w:widowControl/>
      <w:spacing w:before="240" w:after="0" w:line="259" w:lineRule="auto"/>
      <w:jc w:val="left"/>
      <w:outlineLvl w:val="9"/>
    </w:pPr>
    <w:rPr>
      <w:rFonts w:ascii="Cambria" w:hAnsi="Cambria" w:eastAsia="宋体" w:cs="Times New Roman"/>
      <w:b w:val="0"/>
      <w:bCs w:val="0"/>
      <w:color w:val="366091"/>
      <w:kern w:val="0"/>
      <w:sz w:val="32"/>
      <w:szCs w:val="32"/>
    </w:rPr>
  </w:style>
  <w:style w:type="table" w:customStyle="1" w:styleId="96">
    <w:name w:val="网格型15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
    <w:name w:val="网格型11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8">
    <w:name w:val="网格型7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9">
    <w:name w:val="网格型20"/>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网格型16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网格型12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网格型8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网格型13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网格型7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网格型3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网格型14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网格型10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网格型8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网格型11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网格型12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1">
    <w:name w:val="网格型5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2">
    <w:name w:val="网格型4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3">
    <w:name w:val="网格型2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4">
    <w:name w:val="网格型15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5">
    <w:name w:val="网格型114"/>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6">
    <w:name w:val="网格型9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
    <w:name w:val="网格型63"/>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8">
    <w:name w:val="网格型3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9">
    <w:name w:val="网格型16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网格型17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
    <w:name w:val="网格型4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
    <w:name w:val="网格型18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
    <w:name w:val="网格型5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
    <w:name w:val="网格型2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
    <w:name w:val="网格型14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
    <w:name w:val="网格型10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
    <w:name w:val="网格型6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
    <w:name w:val="网格型13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
    <w:name w:val="网格型91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
    <w:name w:val="表格式1"/>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表格式2"/>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
    <w:name w:val="表格式3"/>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
    <w:name w:val="表格式4"/>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4">
    <w:name w:val="prop31"/>
    <w:basedOn w:val="1"/>
    <w:next w:val="1"/>
    <w:autoRedefine/>
    <w:unhideWhenUsed/>
    <w:qFormat/>
    <w:uiPriority w:val="9"/>
    <w:pPr>
      <w:keepNext/>
      <w:keepLines/>
      <w:spacing w:before="260" w:after="260" w:line="416" w:lineRule="auto"/>
      <w:outlineLvl w:val="2"/>
    </w:pPr>
    <w:rPr>
      <w:b/>
      <w:bCs/>
      <w:sz w:val="32"/>
      <w:szCs w:val="32"/>
    </w:rPr>
  </w:style>
  <w:style w:type="table" w:customStyle="1" w:styleId="135">
    <w:name w:val="表格式5"/>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6">
    <w:name w:val="标题 3 字符"/>
    <w:basedOn w:val="21"/>
    <w:autoRedefine/>
    <w:semiHidden/>
    <w:qFormat/>
    <w:uiPriority w:val="9"/>
    <w:rPr>
      <w:rFonts w:ascii="Times New Roman" w:hAnsi="Times New Roman" w:eastAsia="仿宋" w:cs="Times New Roman"/>
      <w:b/>
      <w:bCs/>
      <w:sz w:val="32"/>
      <w:szCs w:val="32"/>
    </w:rPr>
  </w:style>
  <w:style w:type="character" w:customStyle="1" w:styleId="137">
    <w:name w:val="标题 3 Char"/>
    <w:basedOn w:val="21"/>
    <w:link w:val="4"/>
    <w:autoRedefine/>
    <w:qFormat/>
    <w:uiPriority w:val="9"/>
    <w:rPr>
      <w:b/>
      <w:bCs/>
      <w:sz w:val="32"/>
      <w:szCs w:val="32"/>
    </w:rPr>
  </w:style>
  <w:style w:type="table" w:customStyle="1" w:styleId="138">
    <w:name w:val="表格样式21"/>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9">
    <w:name w:val="网格型115"/>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0">
    <w:name w:val="正文文本 Char"/>
    <w:basedOn w:val="21"/>
    <w:link w:val="7"/>
    <w:autoRedefine/>
    <w:qFormat/>
    <w:uiPriority w:val="99"/>
    <w:rPr>
      <w:rFonts w:ascii="Calibri" w:hAnsi="Calibri" w:eastAsia="宋体" w:cs="Times New Roman"/>
      <w:kern w:val="2"/>
      <w:sz w:val="24"/>
      <w:szCs w:val="24"/>
    </w:rPr>
  </w:style>
  <w:style w:type="paragraph" w:customStyle="1" w:styleId="141">
    <w:name w:val="Default"/>
    <w:basedOn w:val="142"/>
    <w:next w:val="1"/>
    <w:autoRedefine/>
    <w:qFormat/>
    <w:uiPriority w:val="0"/>
    <w:pPr>
      <w:autoSpaceDE w:val="0"/>
      <w:autoSpaceDN w:val="0"/>
      <w:adjustRightInd w:val="0"/>
      <w:spacing w:line="360" w:lineRule="auto"/>
      <w:ind w:firstLine="601"/>
    </w:pPr>
    <w:rPr>
      <w:rFonts w:ascii="仿宋" w:eastAsia="仿宋" w:cs="仿宋" w:hAnsiTheme="minorHAnsi"/>
      <w:color w:val="000000"/>
      <w:sz w:val="24"/>
    </w:rPr>
  </w:style>
  <w:style w:type="paragraph" w:customStyle="1" w:styleId="142">
    <w:name w:val="正文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3">
    <w:name w:val="页眉 字符3"/>
    <w:basedOn w:val="21"/>
    <w:autoRedefine/>
    <w:qFormat/>
    <w:uiPriority w:val="99"/>
    <w:rPr>
      <w:sz w:val="18"/>
      <w:szCs w:val="18"/>
    </w:rPr>
  </w:style>
  <w:style w:type="character" w:customStyle="1" w:styleId="144">
    <w:name w:val="页脚 字符3"/>
    <w:basedOn w:val="21"/>
    <w:autoRedefine/>
    <w:qFormat/>
    <w:uiPriority w:val="99"/>
    <w:rPr>
      <w:sz w:val="18"/>
      <w:szCs w:val="18"/>
    </w:rPr>
  </w:style>
  <w:style w:type="table" w:customStyle="1" w:styleId="145">
    <w:name w:val="网格型116"/>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
    <w:name w:val="网格型24"/>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7">
    <w:name w:val="标题 3 字符2"/>
    <w:basedOn w:val="21"/>
    <w:autoRedefine/>
    <w:semiHidden/>
    <w:qFormat/>
    <w:uiPriority w:val="9"/>
    <w:rPr>
      <w:b/>
      <w:bCs/>
      <w:kern w:val="2"/>
      <w:sz w:val="32"/>
      <w:szCs w:val="32"/>
    </w:rPr>
  </w:style>
  <w:style w:type="table" w:customStyle="1" w:styleId="148">
    <w:name w:val="表格式6"/>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
    <w:name w:val="表格样式211"/>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0">
    <w:name w:val="网格型117"/>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1">
    <w:name w:val="表格式11"/>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
    <w:name w:val="网格型118"/>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
    <w:name w:val="网格型25"/>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
    <w:name w:val="表格式21"/>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5">
    <w:name w:val="网格型124"/>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6">
    <w:name w:val="网格型21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7">
    <w:name w:val="网格型3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8">
    <w:name w:val="网格型4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9">
    <w:name w:val="网格型5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0">
    <w:name w:val="网格型6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
    <w:name w:val="网格型7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
    <w:name w:val="网格型8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
    <w:name w:val="网格型9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
    <w:name w:val="网格型104"/>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
    <w:name w:val="网格型1112"/>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
    <w:name w:val="表格式7"/>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
    <w:name w:val="网格型26"/>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
    <w:name w:val="网格型27"/>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
    <w:name w:val="表格样式212"/>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0">
    <w:name w:val="表格式8"/>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1">
    <w:name w:val="表格式9"/>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2">
    <w:name w:val="表格样式213"/>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3">
    <w:name w:val="网格型119"/>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
    <w:name w:val="表格式10"/>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
    <w:name w:val="表格式12"/>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
    <w:name w:val="表格样式214"/>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7">
    <w:name w:val="网格型120"/>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8">
    <w:name w:val="表格式13"/>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9">
    <w:name w:val="表格式14"/>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0">
    <w:name w:val="表格样式215"/>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1">
    <w:name w:val="网格型125"/>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2">
    <w:name w:val="表格式15"/>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
    <w:name w:val="表格式16"/>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4">
    <w:name w:val="表格样式216"/>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5">
    <w:name w:val="网格型126"/>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
    <w:name w:val="表格式17"/>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
    <w:name w:val="表格样式217"/>
    <w:basedOn w:val="1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8">
    <w:name w:val="网格型127"/>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表格式18"/>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0">
    <w:name w:val="网格型1110"/>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1">
    <w:name w:val="网格型28"/>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2">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3">
    <w:name w:val="表格格式"/>
    <w:basedOn w:val="1"/>
    <w:link w:val="195"/>
    <w:autoRedefine/>
    <w:qFormat/>
    <w:uiPriority w:val="0"/>
    <w:pPr>
      <w:jc w:val="left"/>
    </w:pPr>
    <w:rPr>
      <w:rFonts w:ascii="仿宋" w:hAnsi="Times New Roman" w:eastAsia="仿宋" w:cs="Times New Roman"/>
      <w:bCs/>
      <w:color w:val="000000"/>
      <w:kern w:val="0"/>
      <w:szCs w:val="21"/>
    </w:rPr>
  </w:style>
  <w:style w:type="paragraph" w:customStyle="1" w:styleId="194">
    <w:name w:val="表格"/>
    <w:basedOn w:val="193"/>
    <w:link w:val="196"/>
    <w:autoRedefine/>
    <w:qFormat/>
    <w:uiPriority w:val="0"/>
  </w:style>
  <w:style w:type="character" w:customStyle="1" w:styleId="195">
    <w:name w:val="表格格式 字符"/>
    <w:basedOn w:val="21"/>
    <w:link w:val="193"/>
    <w:autoRedefine/>
    <w:qFormat/>
    <w:uiPriority w:val="0"/>
    <w:rPr>
      <w:rFonts w:ascii="仿宋" w:hAnsi="Times New Roman" w:eastAsia="仿宋" w:cs="Times New Roman"/>
      <w:bCs/>
      <w:color w:val="000000"/>
      <w:sz w:val="21"/>
      <w:szCs w:val="21"/>
    </w:rPr>
  </w:style>
  <w:style w:type="character" w:customStyle="1" w:styleId="196">
    <w:name w:val="表格 字符"/>
    <w:basedOn w:val="195"/>
    <w:link w:val="194"/>
    <w:autoRedefine/>
    <w:qFormat/>
    <w:uiPriority w:val="0"/>
    <w:rPr>
      <w:rFonts w:ascii="仿宋" w:hAnsi="Times New Roman" w:eastAsia="仿宋" w:cs="Times New Roman"/>
      <w:color w:val="000000"/>
      <w:sz w:val="21"/>
      <w:szCs w:val="21"/>
    </w:rPr>
  </w:style>
  <w:style w:type="table" w:customStyle="1" w:styleId="197">
    <w:name w:val="表格式161"/>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
    <w:name w:val="网格型29"/>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9">
    <w:name w:val="无间隔1"/>
    <w:next w:val="200"/>
    <w:link w:val="203"/>
    <w:autoRedefine/>
    <w:qFormat/>
    <w:uiPriority w:val="1"/>
    <w:pPr>
      <w:widowControl w:val="0"/>
      <w:jc w:val="both"/>
    </w:pPr>
    <w:rPr>
      <w:rFonts w:eastAsia="仿宋" w:asciiTheme="minorHAnsi" w:hAnsiTheme="minorHAnsi" w:cstheme="minorBidi"/>
      <w:kern w:val="2"/>
      <w:sz w:val="21"/>
      <w:szCs w:val="22"/>
      <w:lang w:val="en-US" w:eastAsia="zh-CN" w:bidi="ar-SA"/>
    </w:rPr>
  </w:style>
  <w:style w:type="paragraph" w:styleId="200">
    <w:name w:val="No Spacing"/>
    <w:autoRedefine/>
    <w:unhideWhenUsed/>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样式1"/>
    <w:basedOn w:val="200"/>
    <w:link w:val="204"/>
    <w:autoRedefine/>
    <w:qFormat/>
    <w:uiPriority w:val="0"/>
    <w:rPr>
      <w:rFonts w:eastAsia="仿宋"/>
    </w:rPr>
  </w:style>
  <w:style w:type="table" w:customStyle="1" w:styleId="202">
    <w:name w:val="样式2"/>
    <w:basedOn w:val="19"/>
    <w:autoRedefine/>
    <w:qFormat/>
    <w:uiPriority w:val="99"/>
    <w:rPr>
      <w:kern w:val="2"/>
      <w:sz w:val="21"/>
      <w:szCs w:val="22"/>
    </w:rPr>
    <w:tblPr>
      <w:tblCellMar>
        <w:top w:w="0" w:type="dxa"/>
        <w:left w:w="108" w:type="dxa"/>
        <w:bottom w:w="0" w:type="dxa"/>
        <w:right w:w="108" w:type="dxa"/>
      </w:tblCellMar>
    </w:tblPr>
  </w:style>
  <w:style w:type="character" w:customStyle="1" w:styleId="203">
    <w:name w:val="无间隔 字符"/>
    <w:basedOn w:val="21"/>
    <w:link w:val="199"/>
    <w:autoRedefine/>
    <w:qFormat/>
    <w:uiPriority w:val="1"/>
    <w:rPr>
      <w:rFonts w:eastAsia="仿宋"/>
    </w:rPr>
  </w:style>
  <w:style w:type="character" w:customStyle="1" w:styleId="204">
    <w:name w:val="样式1 字符"/>
    <w:basedOn w:val="203"/>
    <w:link w:val="201"/>
    <w:autoRedefine/>
    <w:qFormat/>
    <w:uiPriority w:val="0"/>
    <w:rPr>
      <w:rFonts w:eastAsia="仿宋"/>
      <w:kern w:val="2"/>
      <w:sz w:val="21"/>
      <w:szCs w:val="22"/>
    </w:rPr>
  </w:style>
  <w:style w:type="table" w:customStyle="1" w:styleId="205">
    <w:name w:val="网格型24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
    <w:name w:val="表格式19"/>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
    <w:name w:val="表格式162"/>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
    <w:name w:val="网格型30"/>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样式21"/>
    <w:basedOn w:val="19"/>
    <w:autoRedefine/>
    <w:qFormat/>
    <w:uiPriority w:val="99"/>
    <w:rPr>
      <w:kern w:val="2"/>
      <w:sz w:val="21"/>
      <w:szCs w:val="22"/>
    </w:rPr>
    <w:tblPr>
      <w:tblCellMar>
        <w:top w:w="0" w:type="dxa"/>
        <w:left w:w="108" w:type="dxa"/>
        <w:bottom w:w="0" w:type="dxa"/>
        <w:right w:w="108" w:type="dxa"/>
      </w:tblCellMar>
    </w:tblPr>
  </w:style>
  <w:style w:type="table" w:customStyle="1" w:styleId="210">
    <w:name w:val="网格型5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网格型3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
    <w:name w:val="网格型4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
    <w:name w:val="网格型6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4">
    <w:name w:val="网格型1112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网格型9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
    <w:name w:val="网格型8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网格型10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
    <w:name w:val="网格型74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
    <w:name w:val="网格型35"/>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
    <w:name w:val="网格型36"/>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
    <w:name w:val="网格型37"/>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2">
    <w:name w:val="网格型38"/>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
    <w:name w:val="表格式163"/>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
    <w:name w:val="网格型39"/>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
    <w:name w:val="样式22"/>
    <w:basedOn w:val="19"/>
    <w:autoRedefine/>
    <w:qFormat/>
    <w:uiPriority w:val="99"/>
    <w:rPr>
      <w:kern w:val="2"/>
      <w:sz w:val="21"/>
      <w:szCs w:val="22"/>
    </w:rPr>
    <w:tblPr>
      <w:tblCellMar>
        <w:top w:w="0" w:type="dxa"/>
        <w:left w:w="108" w:type="dxa"/>
        <w:bottom w:w="0" w:type="dxa"/>
        <w:right w:w="108" w:type="dxa"/>
      </w:tblCellMar>
    </w:tblPr>
  </w:style>
  <w:style w:type="table" w:customStyle="1" w:styleId="226">
    <w:name w:val="网格型1251"/>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
    <w:name w:val="表格式164"/>
    <w:basedOn w:val="19"/>
    <w:autoRedefine/>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
    <w:name w:val="网格型40"/>
    <w:basedOn w:val="19"/>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
    <w:name w:val="样式23"/>
    <w:basedOn w:val="19"/>
    <w:autoRedefine/>
    <w:qFormat/>
    <w:uiPriority w:val="99"/>
    <w:rPr>
      <w:kern w:val="2"/>
      <w:sz w:val="21"/>
      <w:szCs w:val="22"/>
    </w:rPr>
    <w:tblPr>
      <w:tblCellMar>
        <w:top w:w="0" w:type="dxa"/>
        <w:left w:w="108" w:type="dxa"/>
        <w:bottom w:w="0" w:type="dxa"/>
        <w:right w:w="108" w:type="dxa"/>
      </w:tblCellMar>
    </w:tblPr>
  </w:style>
  <w:style w:type="table" w:customStyle="1" w:styleId="230">
    <w:name w:val="网格型1252"/>
    <w:basedOn w:val="1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1">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32">
    <w:name w:val="0正文"/>
    <w:basedOn w:val="8"/>
    <w:autoRedefine/>
    <w:qFormat/>
    <w:uiPriority w:val="0"/>
    <w:pPr>
      <w:spacing w:after="0"/>
      <w:ind w:left="0" w:leftChars="0"/>
    </w:pPr>
    <w:rPr>
      <w:rFonts w:cs="宋体"/>
      <w:kern w:val="0"/>
      <w:szCs w:val="20"/>
    </w:rPr>
  </w:style>
  <w:style w:type="paragraph" w:customStyle="1" w:styleId="233">
    <w:name w:val="报告书正文"/>
    <w:basedOn w:val="1"/>
    <w:autoRedefine/>
    <w:qFormat/>
    <w:uiPriority w:val="0"/>
    <w:pPr>
      <w:spacing w:line="360" w:lineRule="auto"/>
      <w:ind w:firstLine="480" w:firstLineChars="200"/>
      <w:jc w:val="left"/>
    </w:pPr>
    <w:rPr>
      <w:rFonts w:ascii="Times New Roman" w:hAnsi="Times New Roman" w:eastAsia="宋体" w:cs="Times New Roman"/>
      <w:snapToGrid w:val="0"/>
      <w:kern w:val="0"/>
      <w:sz w:val="24"/>
      <w:szCs w:val="28"/>
      <w:lang w:val="zh-CN"/>
    </w:rPr>
  </w:style>
  <w:style w:type="paragraph" w:customStyle="1" w:styleId="234">
    <w:name w:val="EIS_TEXT"/>
    <w:basedOn w:val="1"/>
    <w:autoRedefine/>
    <w:qFormat/>
    <w:uiPriority w:val="0"/>
    <w:pPr>
      <w:adjustRightInd w:val="0"/>
      <w:snapToGrid w:val="0"/>
      <w:spacing w:before="20" w:beforeLines="20" w:after="20" w:afterLines="20" w:line="360" w:lineRule="auto"/>
      <w:ind w:firstLine="480" w:firstLineChars="200"/>
      <w:contextualSpacing/>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59D71-CEB9-4734-8E51-A42B82BD071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272</Pages>
  <Words>85168</Words>
  <Characters>485458</Characters>
  <Lines>4045</Lines>
  <Paragraphs>1138</Paragraphs>
  <TotalTime>153</TotalTime>
  <ScaleCrop>false</ScaleCrop>
  <LinksUpToDate>false</LinksUpToDate>
  <CharactersWithSpaces>569488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2020-11-18T06:53:00Z</dcterms:created>
  <dc:creator>Lisa</dc:creator>
  <cp:lastModifiedBy>宁</cp:lastModifiedBy>
  <cp:lastPrinted>2019-11-09T10:14:00Z</cp:lastPrinted>
  <dcterms:modified xsi:type="dcterms:W3CDTF">2024-02-21T01:54:14Z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0FC7CC8287254AD2847863E350CD0B2A_13</vt:lpwstr>
  </property>
</Properties>
</file>